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tabs>
          <w:tab w:val="right" w:pos="9639"/>
          <w:tab w:val="right" w:pos="13323"/>
        </w:tabs>
        <w:spacing w:after="0"/>
        <w:rPr>
          <w:rFonts w:eastAsia="宋体" w:cs="Arial"/>
          <w:b/>
          <w:sz w:val="24"/>
          <w:szCs w:val="24"/>
          <w:lang w:val="en-US" w:eastAsia="zh-CN"/>
        </w:rPr>
      </w:pPr>
      <w:r>
        <w:rPr>
          <w:rFonts w:cs="Arial"/>
          <w:b/>
          <w:bCs/>
          <w:sz w:val="24"/>
          <w:szCs w:val="24"/>
        </w:rPr>
        <w:t>3GPP TSG-RAN WG3 Meeting #1</w:t>
      </w:r>
      <w:r>
        <w:rPr>
          <w:rFonts w:hint="eastAsia" w:eastAsia="宋体" w:cs="Arial"/>
          <w:b/>
          <w:bCs/>
          <w:sz w:val="24"/>
          <w:szCs w:val="24"/>
          <w:lang w:val="en-US" w:eastAsia="zh-CN"/>
        </w:rPr>
        <w:t>21bis</w:t>
      </w:r>
      <w:r>
        <w:rPr>
          <w:rFonts w:cs="Arial"/>
          <w:b/>
          <w:sz w:val="24"/>
          <w:szCs w:val="24"/>
        </w:rPr>
        <w:tab/>
      </w:r>
      <w:r>
        <w:rPr>
          <w:rFonts w:hint="eastAsia"/>
          <w:b/>
          <w:i/>
          <w:sz w:val="28"/>
        </w:rPr>
        <w:t>R3-235396</w:t>
      </w:r>
    </w:p>
    <w:p>
      <w:pPr>
        <w:pStyle w:val="15"/>
        <w:jc w:val="both"/>
        <w:rPr>
          <w:rFonts w:eastAsia="宋体"/>
          <w:bCs w:val="0"/>
          <w:i w:val="0"/>
          <w:sz w:val="24"/>
        </w:rPr>
      </w:pPr>
      <w:r>
        <w:rPr>
          <w:rFonts w:hint="eastAsia" w:eastAsia="宋体"/>
          <w:bCs w:val="0"/>
          <w:i w:val="0"/>
          <w:sz w:val="24"/>
        </w:rPr>
        <w:t>Xiamen, 9 Oct – 13 Oct 2023</w:t>
      </w:r>
    </w:p>
    <w:p>
      <w:pPr>
        <w:pStyle w:val="15"/>
        <w:jc w:val="both"/>
        <w:rPr>
          <w:rFonts w:eastAsia="宋体"/>
          <w:b w:val="0"/>
          <w:i w:val="0"/>
          <w:sz w:val="24"/>
        </w:rPr>
      </w:pPr>
    </w:p>
    <w:p>
      <w:pPr>
        <w:tabs>
          <w:tab w:val="left" w:pos="1985"/>
        </w:tabs>
        <w:ind w:left="1980" w:hanging="1980"/>
        <w:rPr>
          <w:rStyle w:val="75"/>
        </w:rPr>
      </w:pPr>
      <w:r>
        <w:rPr>
          <w:b/>
          <w:sz w:val="24"/>
        </w:rPr>
        <w:t>Title:</w:t>
      </w:r>
      <w:r>
        <w:rPr>
          <w:sz w:val="24"/>
        </w:rPr>
        <w:t xml:space="preserve"> </w:t>
      </w:r>
      <w:r>
        <w:rPr>
          <w:sz w:val="24"/>
        </w:rPr>
        <w:tab/>
      </w:r>
      <w:r>
        <w:rPr>
          <w:rFonts w:hint="eastAsia"/>
          <w:sz w:val="24"/>
        </w:rPr>
        <w:t>Discussion on QoE measurement in NR-DC</w:t>
      </w:r>
    </w:p>
    <w:p>
      <w:pPr>
        <w:tabs>
          <w:tab w:val="left" w:pos="1985"/>
        </w:tabs>
        <w:rPr>
          <w:rStyle w:val="75"/>
          <w:lang w:val="en-GB"/>
        </w:rPr>
      </w:pPr>
      <w:r>
        <w:rPr>
          <w:b/>
          <w:sz w:val="24"/>
        </w:rPr>
        <w:t xml:space="preserve">Source: </w:t>
      </w:r>
      <w:r>
        <w:rPr>
          <w:b/>
          <w:sz w:val="24"/>
        </w:rPr>
        <w:tab/>
      </w:r>
      <w:r>
        <w:rPr>
          <w:rFonts w:hint="eastAsia"/>
          <w:bCs/>
          <w:sz w:val="24"/>
        </w:rPr>
        <w:t>China Unicom</w:t>
      </w:r>
    </w:p>
    <w:p>
      <w:pPr>
        <w:tabs>
          <w:tab w:val="left" w:pos="1985"/>
        </w:tabs>
        <w:rPr>
          <w:rStyle w:val="75"/>
          <w:lang w:val="en-GB"/>
        </w:rPr>
      </w:pPr>
      <w:r>
        <w:rPr>
          <w:b/>
          <w:sz w:val="24"/>
        </w:rPr>
        <w:t>Agenda item:</w:t>
      </w:r>
      <w:r>
        <w:rPr>
          <w:sz w:val="24"/>
        </w:rPr>
        <w:tab/>
      </w:r>
      <w:r>
        <w:rPr>
          <w:rFonts w:hint="eastAsia"/>
          <w:sz w:val="24"/>
          <w:lang w:val="en-US"/>
        </w:rPr>
        <w:t>11</w:t>
      </w:r>
      <w:r>
        <w:rPr>
          <w:sz w:val="24"/>
        </w:rPr>
        <w:t>.3</w:t>
      </w:r>
    </w:p>
    <w:p>
      <w:pPr>
        <w:tabs>
          <w:tab w:val="left" w:pos="1985"/>
        </w:tabs>
        <w:ind w:left="1980" w:hanging="1980"/>
        <w:rPr>
          <w:rStyle w:val="75"/>
          <w:lang w:val="en-GB"/>
        </w:rPr>
      </w:pPr>
      <w:r>
        <w:rPr>
          <w:b/>
          <w:sz w:val="24"/>
        </w:rPr>
        <w:t>Document Type:</w:t>
      </w:r>
      <w:r>
        <w:rPr>
          <w:sz w:val="24"/>
        </w:rPr>
        <w:tab/>
      </w:r>
      <w:r>
        <w:rPr>
          <w:rFonts w:hint="eastAsia"/>
          <w:sz w:val="24"/>
        </w:rPr>
        <w:t>D</w:t>
      </w:r>
      <w:r>
        <w:rPr>
          <w:sz w:val="24"/>
        </w:rPr>
        <w:t>iscussion</w:t>
      </w:r>
    </w:p>
    <w:p>
      <w:pPr>
        <w:pStyle w:val="2"/>
        <w:rPr>
          <w:rFonts w:eastAsia="宋体"/>
        </w:rPr>
      </w:pPr>
      <w:r>
        <w:rPr>
          <w:rFonts w:eastAsia="宋体"/>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ascii="Times New Roman" w:hAnsi="Times New Roman" w:eastAsia="宋体"/>
          <w:sz w:val="21"/>
          <w:szCs w:val="21"/>
          <w:lang w:val="en-US"/>
        </w:rPr>
        <w:t>6</w:t>
      </w:r>
      <w:r>
        <w:rPr>
          <w:rFonts w:ascii="Times New Roman" w:hAnsi="Times New Roman"/>
          <w:sz w:val="21"/>
          <w:szCs w:val="21"/>
        </w:rPr>
        <w:t xml:space="preserve"> (RP-2</w:t>
      </w:r>
      <w:r>
        <w:rPr>
          <w:rFonts w:ascii="Times New Roman" w:hAnsi="Times New Roman" w:eastAsia="宋体"/>
          <w:sz w:val="21"/>
          <w:szCs w:val="21"/>
          <w:lang w:val="en-US"/>
        </w:rPr>
        <w:t>21803</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rPr>
            </w:pPr>
            <w:r>
              <w:rPr>
                <w:rFonts w:ascii="Times New Roman" w:hAnsi="Times New Roman"/>
                <w:bCs/>
              </w:rPr>
              <w:t>Specify to support for QoE in NR-DC, e.g. enable QoE reporting via SN [RAN3, RAN2].</w:t>
            </w:r>
          </w:p>
          <w:p>
            <w:pPr>
              <w:numPr>
                <w:ilvl w:val="0"/>
                <w:numId w:val="6"/>
              </w:numPr>
              <w:spacing w:after="0"/>
              <w:ind w:left="720" w:hanging="360"/>
              <w:rPr>
                <w:rFonts w:ascii="Times New Roman" w:hAnsi="Times New Roman"/>
                <w:bCs/>
              </w:rPr>
            </w:pPr>
            <w:r>
              <w:rPr>
                <w:rFonts w:ascii="Times New Roman" w:hAnsi="Times New Roman"/>
              </w:rPr>
              <w:t>Specify the QoE configuration,</w:t>
            </w:r>
            <w:r>
              <w:rPr>
                <w:rFonts w:ascii="Times New Roman" w:hAnsi="Times New Roman"/>
                <w:lang w:val="en-US"/>
              </w:rPr>
              <w:t xml:space="preserve"> and</w:t>
            </w:r>
            <w:r>
              <w:rPr>
                <w:rFonts w:ascii="Times New Roman" w:hAnsi="Times New Roman"/>
              </w:rPr>
              <w:t xml:space="preserve"> measurement reporting over MN/SN for NR-DC architecture, and specify the QoE measurement reporting over the other DC leg </w:t>
            </w:r>
            <w:r>
              <w:rPr>
                <w:rFonts w:ascii="Times New Roman" w:hAnsi="Times New Roman"/>
                <w:lang w:val="en-US"/>
              </w:rPr>
              <w:t>in order to maintain the reporting continuity</w:t>
            </w:r>
            <w:r>
              <w:rPr>
                <w:rFonts w:ascii="Times New Roman" w:hAnsi="Times New Roman"/>
              </w:rPr>
              <w:t>.</w:t>
            </w:r>
          </w:p>
          <w:p>
            <w:pPr>
              <w:spacing w:after="0"/>
              <w:ind w:left="720"/>
              <w:rPr>
                <w:rFonts w:ascii="Times New Roman" w:hAnsi="Times New Roman"/>
                <w:bCs/>
              </w:rPr>
            </w:pPr>
            <w:r>
              <w:rPr>
                <w:rFonts w:ascii="Times New Roman" w:hAnsi="Times New Roman"/>
                <w:bCs/>
              </w:rPr>
              <w:t>Note 1: The QoE measurements are not perform</w:t>
            </w:r>
            <w:r>
              <w:rPr>
                <w:rFonts w:ascii="Times New Roman" w:hAnsi="Times New Roman"/>
                <w:bCs/>
                <w:lang w:val="en-US"/>
              </w:rPr>
              <w:t>ed separately</w:t>
            </w:r>
            <w:r>
              <w:rPr>
                <w:rFonts w:ascii="Times New Roman" w:hAnsi="Times New Roman"/>
                <w:bCs/>
              </w:rPr>
              <w:t xml:space="preserve"> for </w:t>
            </w:r>
            <w:r>
              <w:rPr>
                <w:rFonts w:ascii="Times New Roman" w:hAnsi="Times New Roman"/>
                <w:bCs/>
                <w:lang w:val="en-US"/>
              </w:rPr>
              <w:t xml:space="preserve">each </w:t>
            </w:r>
            <w:r>
              <w:rPr>
                <w:rFonts w:ascii="Times New Roman" w:hAnsi="Times New Roman"/>
                <w:bCs/>
              </w:rPr>
              <w:t>leg.</w:t>
            </w:r>
          </w:p>
          <w:p>
            <w:pPr>
              <w:numPr>
                <w:ilvl w:val="0"/>
                <w:numId w:val="6"/>
              </w:numPr>
              <w:spacing w:after="0"/>
              <w:ind w:left="720" w:hanging="360"/>
              <w:rPr>
                <w:rFonts w:ascii="Times New Roman" w:hAnsi="Times New Roman"/>
                <w:bCs/>
              </w:rPr>
            </w:pPr>
            <w:r>
              <w:rPr>
                <w:rFonts w:ascii="Times New Roman" w:hAnsi="Times New Roman"/>
                <w:bCs/>
              </w:rPr>
              <w:t xml:space="preserve">Support RAN-visible </w:t>
            </w:r>
            <w:r>
              <w:rPr>
                <w:rFonts w:ascii="Times New Roman" w:hAnsi="Times New Roman"/>
                <w:bCs/>
                <w:lang w:val="en-US"/>
              </w:rPr>
              <w:t xml:space="preserve">QoE </w:t>
            </w:r>
            <w:r>
              <w:rPr>
                <w:rFonts w:ascii="Times New Roman" w:hAnsi="Times New Roman"/>
                <w:bCs/>
              </w:rPr>
              <w:t>and radio related measurement configuration and reporting in NR-DC scenarios.</w:t>
            </w:r>
          </w:p>
          <w:p>
            <w:pPr>
              <w:numPr>
                <w:ilvl w:val="0"/>
                <w:numId w:val="6"/>
              </w:numPr>
              <w:spacing w:after="0"/>
              <w:ind w:left="720" w:hanging="360"/>
              <w:rPr>
                <w:rFonts w:ascii="Times New Roman" w:hAnsi="Times New Roman"/>
                <w:bCs/>
              </w:rPr>
            </w:pPr>
            <w:r>
              <w:rPr>
                <w:rFonts w:ascii="Times New Roman" w:hAnsi="Times New Roman"/>
              </w:rPr>
              <w:t>Specify the QoE measurement continuity in mobility scenarios in NR-DC</w:t>
            </w:r>
            <w:r>
              <w:rPr>
                <w:rFonts w:ascii="Times New Roman" w:hAnsi="Times New Roman"/>
                <w:bCs/>
              </w:rPr>
              <w:t>.</w:t>
            </w:r>
          </w:p>
          <w:p>
            <w:pPr>
              <w:numPr>
                <w:ilvl w:val="0"/>
                <w:numId w:val="6"/>
              </w:numPr>
              <w:spacing w:after="0"/>
              <w:ind w:left="720" w:hanging="360"/>
              <w:rPr>
                <w:rFonts w:ascii="Times New Roman" w:hAnsi="Times New Roman"/>
                <w:sz w:val="21"/>
                <w:szCs w:val="21"/>
              </w:rPr>
            </w:pPr>
            <w:r>
              <w:rPr>
                <w:rFonts w:ascii="Times New Roman" w:hAnsi="Times New Roman"/>
              </w:rPr>
              <w:t>Specify the alignment of QoE</w:t>
            </w:r>
            <w:r>
              <w:rPr>
                <w:rFonts w:ascii="Times New Roman" w:hAnsi="Times New Roman"/>
                <w:lang w:val="en-US"/>
              </w:rPr>
              <w:t xml:space="preserve"> measurements (including legacy QoE and RAN visible QoE measurements)</w:t>
            </w:r>
            <w:r>
              <w:rPr>
                <w:rFonts w:ascii="Times New Roman" w:hAnsi="Times New Roman"/>
              </w:rPr>
              <w:t xml:space="preserve"> and radio related measurement in NR-DC</w:t>
            </w:r>
            <w:r>
              <w:rPr>
                <w:rFonts w:ascii="Times New Roman" w:hAnsi="Times New Roman"/>
                <w:bCs/>
              </w:rPr>
              <w:t>.</w:t>
            </w:r>
          </w:p>
        </w:tc>
      </w:tr>
    </w:tbl>
    <w:p>
      <w:pPr>
        <w:rPr>
          <w:rStyle w:val="43"/>
          <w:rFonts w:ascii="Times New Roman" w:hAnsi="Times New Roman" w:eastAsia="等线"/>
          <w:sz w:val="21"/>
          <w:szCs w:val="21"/>
          <w:lang w:val="en-GB"/>
        </w:rPr>
      </w:pPr>
    </w:p>
    <w:p>
      <w:pPr>
        <w:rPr>
          <w:rStyle w:val="43"/>
          <w:rFonts w:ascii="Times New Roman" w:hAnsi="Times New Roman" w:eastAsia="等线"/>
          <w:sz w:val="21"/>
          <w:szCs w:val="21"/>
        </w:rPr>
      </w:pPr>
      <w:r>
        <w:rPr>
          <w:rStyle w:val="43"/>
          <w:rFonts w:ascii="Times New Roman" w:hAnsi="Times New Roman"/>
          <w:sz w:val="21"/>
          <w:szCs w:val="21"/>
          <w:lang w:val="en-GB"/>
        </w:rPr>
        <w:t xml:space="preserve">This paper further discusses how to configure </w:t>
      </w:r>
      <w:r>
        <w:rPr>
          <w:rStyle w:val="43"/>
          <w:rFonts w:ascii="Times New Roman" w:hAnsi="Times New Roman" w:eastAsia="等线"/>
          <w:sz w:val="21"/>
          <w:szCs w:val="21"/>
        </w:rPr>
        <w:t>the QoE measurement and RAN-Visible Qo</w:t>
      </w:r>
      <w:r>
        <w:rPr>
          <w:rStyle w:val="43"/>
          <w:rFonts w:hint="eastAsia" w:ascii="Times New Roman" w:hAnsi="Times New Roman" w:eastAsia="等线"/>
          <w:sz w:val="21"/>
          <w:szCs w:val="21"/>
        </w:rPr>
        <w:t>E</w:t>
      </w:r>
      <w:r>
        <w:rPr>
          <w:rStyle w:val="43"/>
          <w:rFonts w:ascii="Times New Roman" w:hAnsi="Times New Roman" w:eastAsia="等线"/>
          <w:sz w:val="21"/>
          <w:szCs w:val="21"/>
        </w:rPr>
        <w:t xml:space="preserve"> measurement in </w:t>
      </w:r>
      <w:r>
        <w:rPr>
          <w:rStyle w:val="43"/>
          <w:rFonts w:hint="eastAsia" w:ascii="Times New Roman" w:hAnsi="Times New Roman" w:eastAsia="等线"/>
          <w:sz w:val="21"/>
          <w:szCs w:val="21"/>
        </w:rPr>
        <w:t>NR-DC</w:t>
      </w:r>
      <w:r>
        <w:rPr>
          <w:rStyle w:val="43"/>
          <w:rFonts w:ascii="Times New Roman" w:hAnsi="Times New Roman" w:eastAsia="等线"/>
          <w:sz w:val="21"/>
          <w:szCs w:val="21"/>
        </w:rPr>
        <w:t xml:space="preserve"> based on the agreements </w:t>
      </w:r>
      <w:r>
        <w:rPr>
          <w:rStyle w:val="43"/>
          <w:rFonts w:hint="eastAsia" w:ascii="Times New Roman" w:hAnsi="Times New Roman" w:eastAsia="等线"/>
          <w:sz w:val="21"/>
          <w:szCs w:val="21"/>
        </w:rPr>
        <w:t>and FFS of the previous meetings</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eastAsia="宋体"/>
        </w:rPr>
      </w:pPr>
      <w:r>
        <w:rPr>
          <w:rFonts w:eastAsia="宋体"/>
        </w:rPr>
        <w:t>Discussion</w:t>
      </w: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QMC Initial Coordination for NR-DC </w:t>
      </w:r>
    </w:p>
    <w:p>
      <w:p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QMC Initial Coordination procedure for NR-DC is used to indicate the information that the S-NG-RAN node needs to provide to the M-NG-RAN node or the information that the M-NG-RAN node needs to provide to the S-NG-RAN node, for managing configuration and reporting of one or more QoE and/or RAN visible QoE measurements.</w:t>
      </w:r>
    </w:p>
    <w:p>
      <w:pPr>
        <w:rPr>
          <w:rFonts w:ascii="Times New Roman" w:hAnsi="Times New Roman" w:eastAsia="等线" w:cs="Calibri"/>
          <w:bCs/>
          <w:sz w:val="22"/>
          <w:szCs w:val="22"/>
          <w:lang w:val="en-US"/>
        </w:rPr>
      </w:pPr>
      <w:r>
        <w:rPr>
          <w:rFonts w:hint="eastAsia" w:ascii="Times New Roman" w:hAnsi="Times New Roman" w:eastAsia="等线" w:cs="Calibri"/>
          <w:bCs/>
          <w:sz w:val="22"/>
          <w:szCs w:val="22"/>
          <w:lang w:val="en-US"/>
        </w:rPr>
        <w:t>If the QoE configuration is received by the MN, the MN can send the QoE configuration directly to UE, and the MN can generate and send the RAN visible QoE configuration directly to UE, but for the QoE reporting/RAN visible QoE reporting, it is reasonable that the SN can also coordinate to receive them. On the other hand, if the coordination procedure is also used in the SN change procedure, the coordination request message is always sent from the MN to SN, it</w:t>
      </w:r>
      <w:r>
        <w:rPr>
          <w:rFonts w:ascii="Times New Roman" w:hAnsi="Times New Roman" w:eastAsia="等线" w:cs="Calibri"/>
          <w:bCs/>
          <w:sz w:val="22"/>
          <w:szCs w:val="22"/>
          <w:lang w:val="en-US"/>
        </w:rPr>
        <w:t xml:space="preserve"> is</w:t>
      </w:r>
      <w:r>
        <w:rPr>
          <w:rFonts w:hint="eastAsia" w:ascii="Times New Roman" w:hAnsi="Times New Roman" w:eastAsia="等线" w:cs="Calibri"/>
          <w:bCs/>
          <w:sz w:val="22"/>
          <w:szCs w:val="22"/>
          <w:lang w:val="en-US"/>
        </w:rPr>
        <w:t xml:space="preserve"> also </w:t>
      </w:r>
      <w:r>
        <w:rPr>
          <w:rFonts w:ascii="Times New Roman" w:hAnsi="Times New Roman" w:eastAsia="等线" w:cs="Calibri"/>
          <w:bCs/>
          <w:sz w:val="22"/>
          <w:szCs w:val="22"/>
          <w:lang w:val="en-US"/>
        </w:rPr>
        <w:t>nessesary</w:t>
      </w:r>
      <w:r>
        <w:rPr>
          <w:rFonts w:hint="eastAsia" w:ascii="Times New Roman" w:hAnsi="Times New Roman" w:eastAsia="等线" w:cs="Calibri"/>
          <w:bCs/>
          <w:sz w:val="22"/>
          <w:szCs w:val="22"/>
          <w:lang w:val="en-US"/>
        </w:rPr>
        <w:t xml:space="preserve"> to coordinate the QoE reporting/RAN visible QoE reporting leg.</w:t>
      </w:r>
    </w:p>
    <w:p>
      <w:pPr>
        <w:rPr>
          <w:rFonts w:ascii="Times New Roman" w:hAnsi="Times New Roman" w:eastAsia="等线" w:cs="Calibri"/>
          <w:b/>
          <w:sz w:val="22"/>
          <w:szCs w:val="22"/>
          <w:lang w:val="en-US"/>
        </w:rPr>
      </w:pPr>
      <w:r>
        <w:rPr>
          <w:rFonts w:hint="eastAsia" w:ascii="Times New Roman" w:hAnsi="Times New Roman" w:eastAsia="等线" w:cs="Calibri"/>
          <w:b/>
          <w:sz w:val="22"/>
          <w:szCs w:val="22"/>
          <w:lang w:val="en-US"/>
        </w:rPr>
        <w:t>Proposal 1: To express MN</w:t>
      </w:r>
      <w:r>
        <w:rPr>
          <w:rFonts w:ascii="Times New Roman" w:hAnsi="Times New Roman" w:eastAsia="等线" w:cs="Calibri"/>
          <w:b/>
          <w:sz w:val="22"/>
          <w:szCs w:val="22"/>
          <w:lang w:val="en-US"/>
        </w:rPr>
        <w:t>’</w:t>
      </w:r>
      <w:r>
        <w:rPr>
          <w:rFonts w:hint="eastAsia" w:ascii="Times New Roman" w:hAnsi="Times New Roman" w:eastAsia="等线" w:cs="Calibri"/>
          <w:b/>
          <w:sz w:val="22"/>
          <w:szCs w:val="22"/>
          <w:lang w:val="en-US"/>
        </w:rPr>
        <w:t>s preference for the QoE reporting and RAN visible QoE reporting, the reporting option need to be supported in the coordination request message send from MN to SN.</w:t>
      </w:r>
    </w:p>
    <w:p>
      <w:pPr>
        <w:rPr>
          <w:rFonts w:ascii="Times New Roman" w:hAnsi="Times New Roman" w:eastAsia="等线" w:cs="Calibri"/>
          <w:b/>
          <w:sz w:val="22"/>
          <w:szCs w:val="22"/>
          <w:lang w:val="en-US"/>
        </w:rPr>
      </w:pP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QMC Modification for NR-DC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QMC Modification procedure is used to indicate the information that the S-NG-RAN node needs to provide to the M-NG-RAN node or the information that the M-NG-RAN node needs to provide to the S-NG-RAN node, for requesting modification of one or more QoE and/or RAN visible QoE measurements.</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If the MN </w:t>
      </w:r>
      <w:r>
        <w:rPr>
          <w:rFonts w:ascii="Times New Roman" w:hAnsi="Times New Roman" w:eastAsia="等线"/>
          <w:bCs/>
          <w:sz w:val="22"/>
          <w:szCs w:val="22"/>
          <w:lang w:val="en-US"/>
        </w:rPr>
        <w:t>intends</w:t>
      </w:r>
      <w:r>
        <w:rPr>
          <w:rFonts w:hint="eastAsia" w:ascii="Times New Roman" w:hAnsi="Times New Roman" w:eastAsia="等线"/>
          <w:bCs/>
          <w:sz w:val="22"/>
          <w:szCs w:val="22"/>
          <w:lang w:val="en-US"/>
        </w:rPr>
        <w:t xml:space="preserve"> to change the reporting leg of QoE or RAN visible QoE to SN, it need to send the QMC Modification Request message to indicate SN about </w:t>
      </w:r>
      <w:r>
        <w:rPr>
          <w:rFonts w:ascii="Times New Roman" w:hAnsi="Times New Roman" w:eastAsia="等线"/>
          <w:bCs/>
          <w:sz w:val="22"/>
          <w:szCs w:val="22"/>
          <w:lang w:val="en-US"/>
        </w:rPr>
        <w:t>the reporting leg to be changed</w:t>
      </w:r>
      <w:r>
        <w:rPr>
          <w:rFonts w:hint="eastAsia" w:ascii="Times New Roman" w:hAnsi="Times New Roman" w:eastAsia="等线"/>
          <w:bCs/>
          <w:sz w:val="22"/>
          <w:szCs w:val="22"/>
          <w:lang w:val="en-US"/>
        </w:rPr>
        <w:t>, and the SN can trigger the SRB5 establishment procedure if there is no SRB for this UE. If the SN can</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t establish the SRB5, SN can send the QMC Modification Response with the IE QoE Reporting Modification response/RVQoE Reporting Modification response set to reject, then the QoE reporting/RAN visible QoE reporting will still report via MN.</w:t>
      </w:r>
    </w:p>
    <w:p>
      <w:pPr>
        <w:rPr>
          <w:rFonts w:ascii="Times New Roman" w:hAnsi="Times New Roman" w:eastAsia="等线"/>
          <w:bCs/>
          <w:sz w:val="22"/>
          <w:szCs w:val="22"/>
          <w:lang w:val="en-US"/>
        </w:rPr>
      </w:pPr>
      <w:r>
        <w:rPr>
          <w:rFonts w:hint="eastAsia" w:ascii="Times New Roman" w:hAnsi="Times New Roman" w:eastAsia="等线" w:cs="Calibri"/>
          <w:b/>
          <w:sz w:val="22"/>
          <w:szCs w:val="22"/>
          <w:lang w:val="en-US"/>
        </w:rPr>
        <w:t>Proposal 2: The reporting leg modification to SN can trigger the SRB5 establishment, if the SN can</w:t>
      </w:r>
      <w:r>
        <w:rPr>
          <w:rFonts w:ascii="Times New Roman" w:hAnsi="Times New Roman" w:eastAsia="等线" w:cs="Calibri"/>
          <w:b/>
          <w:sz w:val="22"/>
          <w:szCs w:val="22"/>
          <w:lang w:val="en-US"/>
        </w:rPr>
        <w:t>’</w:t>
      </w:r>
      <w:r>
        <w:rPr>
          <w:rFonts w:hint="eastAsia" w:ascii="Times New Roman" w:hAnsi="Times New Roman" w:eastAsia="等线" w:cs="Calibri"/>
          <w:b/>
          <w:sz w:val="22"/>
          <w:szCs w:val="22"/>
          <w:lang w:val="en-US"/>
        </w:rPr>
        <w:t xml:space="preserve">t establish the SRB5, the QoE reporting/RAN visible QoE reporting </w:t>
      </w:r>
      <w:r>
        <w:rPr>
          <w:rFonts w:ascii="Times New Roman" w:hAnsi="Times New Roman" w:eastAsia="等线" w:cs="Calibri"/>
          <w:b/>
          <w:sz w:val="22"/>
          <w:szCs w:val="22"/>
          <w:lang w:val="en-US"/>
        </w:rPr>
        <w:t>can</w:t>
      </w:r>
      <w:r>
        <w:rPr>
          <w:rFonts w:hint="eastAsia" w:ascii="Times New Roman" w:hAnsi="Times New Roman" w:eastAsia="等线" w:cs="Calibri"/>
          <w:b/>
          <w:sz w:val="22"/>
          <w:szCs w:val="22"/>
          <w:lang w:val="en-US"/>
        </w:rPr>
        <w:t xml:space="preserve"> still report via MN.</w:t>
      </w:r>
    </w:p>
    <w:p>
      <w:pPr>
        <w:rPr>
          <w:rFonts w:ascii="Times New Roman" w:hAnsi="Times New Roman" w:eastAsia="等线"/>
          <w:b/>
          <w:sz w:val="22"/>
          <w:szCs w:val="22"/>
          <w:lang w:val="en-US"/>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In the QMC Modification Response message, RVQoE Reporting Modification response IE can indicate whether the peer node accept to receive the RAN visible QoE reporting, but there is </w:t>
      </w:r>
      <w:r>
        <w:rPr>
          <w:rFonts w:ascii="Times New Roman" w:hAnsi="Times New Roman" w:eastAsia="等线"/>
          <w:bCs/>
          <w:sz w:val="22"/>
          <w:szCs w:val="22"/>
          <w:lang w:val="en-US"/>
        </w:rPr>
        <w:t>a new</w:t>
      </w:r>
      <w:r>
        <w:rPr>
          <w:rFonts w:hint="eastAsia" w:ascii="Times New Roman" w:hAnsi="Times New Roman" w:eastAsia="等线"/>
          <w:bCs/>
          <w:sz w:val="22"/>
          <w:szCs w:val="22"/>
          <w:lang w:val="en-US"/>
        </w:rPr>
        <w:t xml:space="preserve"> case that the peer node doesn</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 xml:space="preserve">t want to configure the RAN visible QoE at that time, it </w:t>
      </w:r>
      <w:r>
        <w:rPr>
          <w:rFonts w:ascii="Times New Roman" w:hAnsi="Times New Roman" w:eastAsia="等线"/>
          <w:bCs/>
          <w:sz w:val="22"/>
          <w:szCs w:val="22"/>
          <w:lang w:val="en-US"/>
        </w:rPr>
        <w:t>intends</w:t>
      </w:r>
      <w:r>
        <w:rPr>
          <w:rFonts w:hint="eastAsia" w:ascii="Times New Roman" w:hAnsi="Times New Roman" w:eastAsia="等线"/>
          <w:bCs/>
          <w:sz w:val="22"/>
          <w:szCs w:val="22"/>
          <w:lang w:val="en-US"/>
        </w:rPr>
        <w:t xml:space="preserve"> to release the RAN visible QoE configuration, and the code point need</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xml:space="preserve"> to be extend</w:t>
      </w:r>
      <w:r>
        <w:rPr>
          <w:rFonts w:ascii="Times New Roman" w:hAnsi="Times New Roman" w:eastAsia="等线"/>
          <w:bCs/>
          <w:sz w:val="22"/>
          <w:szCs w:val="22"/>
          <w:lang w:val="en-US"/>
        </w:rPr>
        <w:t>ed</w:t>
      </w:r>
      <w:r>
        <w:rPr>
          <w:rFonts w:hint="eastAsia" w:ascii="Times New Roman" w:hAnsi="Times New Roman" w:eastAsia="等线"/>
          <w:bCs/>
          <w:sz w:val="22"/>
          <w:szCs w:val="22"/>
          <w:lang w:val="en-US"/>
        </w:rPr>
        <w:t xml:space="preserve"> to support this</w:t>
      </w:r>
      <w:r>
        <w:rPr>
          <w:rFonts w:ascii="Times New Roman" w:hAnsi="Times New Roman" w:eastAsia="等线"/>
          <w:bCs/>
          <w:sz w:val="22"/>
          <w:szCs w:val="22"/>
          <w:lang w:val="en-US"/>
        </w:rPr>
        <w:t xml:space="preserve"> case</w:t>
      </w:r>
      <w:r>
        <w:rPr>
          <w:rFonts w:hint="eastAsia" w:ascii="Times New Roman" w:hAnsi="Times New Roman" w:eastAsia="等线"/>
          <w:bCs/>
          <w:sz w:val="22"/>
          <w:szCs w:val="22"/>
          <w:lang w:val="en-US"/>
        </w:rPr>
        <w:t>.</w:t>
      </w:r>
    </w:p>
    <w:p>
      <w:pPr>
        <w:rPr>
          <w:rFonts w:ascii="Times New Roman" w:hAnsi="Times New Roman" w:eastAsia="等线"/>
          <w:bCs/>
          <w:sz w:val="22"/>
          <w:szCs w:val="22"/>
          <w:lang w:val="en-US"/>
        </w:rPr>
      </w:pPr>
      <w:r>
        <w:rPr>
          <w:rFonts w:hint="eastAsia" w:ascii="Times New Roman" w:hAnsi="Times New Roman" w:eastAsia="等线" w:cs="Calibri"/>
          <w:b/>
          <w:sz w:val="22"/>
          <w:szCs w:val="22"/>
          <w:lang w:val="en-US"/>
        </w:rPr>
        <w:t>Proposal 3: RVQoE Reporting Modification response IE in QMC Modification Response message need to be extend</w:t>
      </w:r>
      <w:r>
        <w:rPr>
          <w:rFonts w:ascii="Times New Roman" w:hAnsi="Times New Roman" w:eastAsia="等线" w:cs="Calibri"/>
          <w:b/>
          <w:sz w:val="22"/>
          <w:szCs w:val="22"/>
          <w:lang w:val="en-US"/>
        </w:rPr>
        <w:t>ed</w:t>
      </w:r>
      <w:r>
        <w:rPr>
          <w:rFonts w:hint="eastAsia" w:ascii="Times New Roman" w:hAnsi="Times New Roman" w:eastAsia="等线" w:cs="Calibri"/>
          <w:b/>
          <w:sz w:val="22"/>
          <w:szCs w:val="22"/>
          <w:lang w:val="en-US"/>
        </w:rPr>
        <w:t xml:space="preserve"> to indicate </w:t>
      </w:r>
      <w:r>
        <w:rPr>
          <w:rFonts w:ascii="Times New Roman" w:hAnsi="Times New Roman" w:eastAsia="等线" w:cs="Calibri"/>
          <w:b/>
          <w:sz w:val="22"/>
          <w:szCs w:val="22"/>
          <w:lang w:val="en-US"/>
        </w:rPr>
        <w:t>that the</w:t>
      </w:r>
      <w:r>
        <w:rPr>
          <w:rFonts w:hint="eastAsia" w:ascii="Times New Roman" w:hAnsi="Times New Roman" w:eastAsia="等线" w:cs="Calibri"/>
          <w:b/>
          <w:sz w:val="22"/>
          <w:szCs w:val="22"/>
          <w:lang w:val="en-US"/>
        </w:rPr>
        <w:t xml:space="preserve"> node doesn</w:t>
      </w:r>
      <w:r>
        <w:rPr>
          <w:rFonts w:ascii="Times New Roman" w:hAnsi="Times New Roman" w:eastAsia="等线" w:cs="Calibri"/>
          <w:b/>
          <w:sz w:val="22"/>
          <w:szCs w:val="22"/>
          <w:lang w:val="en-US"/>
        </w:rPr>
        <w:t>’</w:t>
      </w:r>
      <w:r>
        <w:rPr>
          <w:rFonts w:hint="eastAsia" w:ascii="Times New Roman" w:hAnsi="Times New Roman" w:eastAsia="等线" w:cs="Calibri"/>
          <w:b/>
          <w:sz w:val="22"/>
          <w:szCs w:val="22"/>
          <w:lang w:val="en-US"/>
        </w:rPr>
        <w:t xml:space="preserve">t </w:t>
      </w:r>
      <w:r>
        <w:rPr>
          <w:rFonts w:ascii="Times New Roman" w:hAnsi="Times New Roman" w:eastAsia="等线" w:cs="Calibri"/>
          <w:b/>
          <w:sz w:val="22"/>
          <w:szCs w:val="22"/>
          <w:lang w:val="en-US"/>
        </w:rPr>
        <w:t>intend</w:t>
      </w:r>
      <w:r>
        <w:rPr>
          <w:rFonts w:hint="eastAsia" w:ascii="Times New Roman" w:hAnsi="Times New Roman" w:eastAsia="等线" w:cs="Calibri"/>
          <w:b/>
          <w:sz w:val="22"/>
          <w:szCs w:val="22"/>
          <w:lang w:val="en-US"/>
        </w:rPr>
        <w:t xml:space="preserve"> to configure </w:t>
      </w:r>
      <w:r>
        <w:rPr>
          <w:rFonts w:hint="eastAsia" w:ascii="Times New Roman" w:hAnsi="Times New Roman" w:eastAsia="等线"/>
          <w:b/>
          <w:sz w:val="22"/>
          <w:szCs w:val="22"/>
          <w:lang w:val="en-US"/>
        </w:rPr>
        <w:t>want to configure the RAN visible QoE at that time.</w:t>
      </w:r>
    </w:p>
    <w:p>
      <w:pPr>
        <w:rPr>
          <w:rFonts w:ascii="Times New Roman" w:hAnsi="Times New Roman" w:eastAsia="等线"/>
          <w:b/>
          <w:sz w:val="22"/>
          <w:szCs w:val="22"/>
          <w:lang w:val="en-US"/>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the QMC Modification Request message, the RAN Visible QoE Reporting Modification Request IE indicate</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xml:space="preserve"> the non-RVQoE-reporting node that it is this node that provides the bearer(s) for the application session, so </w:t>
      </w:r>
      <w:r>
        <w:rPr>
          <w:rFonts w:ascii="Times New Roman" w:hAnsi="Times New Roman" w:eastAsia="等线"/>
          <w:bCs/>
          <w:sz w:val="22"/>
          <w:szCs w:val="22"/>
          <w:lang w:val="en-US"/>
        </w:rPr>
        <w:t xml:space="preserve">that </w:t>
      </w:r>
      <w:r>
        <w:rPr>
          <w:rFonts w:hint="eastAsia" w:ascii="Times New Roman" w:hAnsi="Times New Roman" w:eastAsia="等线"/>
          <w:bCs/>
          <w:sz w:val="22"/>
          <w:szCs w:val="22"/>
          <w:lang w:val="en-US"/>
        </w:rPr>
        <w:t xml:space="preserve">the reporting leg of RAN Visible QoE need to be switched to the non-RVQoE-reporting node. There is </w:t>
      </w:r>
      <w:r>
        <w:rPr>
          <w:rFonts w:ascii="Times New Roman" w:hAnsi="Times New Roman" w:eastAsia="等线"/>
          <w:bCs/>
          <w:sz w:val="22"/>
          <w:szCs w:val="22"/>
          <w:lang w:val="en-US"/>
        </w:rPr>
        <w:t>a new</w:t>
      </w:r>
      <w:r>
        <w:rPr>
          <w:rFonts w:hint="eastAsia" w:ascii="Times New Roman" w:hAnsi="Times New Roman" w:eastAsia="等线"/>
          <w:bCs/>
          <w:sz w:val="22"/>
          <w:szCs w:val="22"/>
          <w:lang w:val="en-US"/>
        </w:rPr>
        <w:t xml:space="preserve"> case that the bearer(s) for the application session is running both in the MN and SN, and</w:t>
      </w:r>
      <w:r>
        <w:rPr>
          <w:rFonts w:hint="eastAsia" w:ascii="Times New Roman" w:hAnsi="Times New Roman" w:eastAsia="等线"/>
          <w:bCs/>
          <w:sz w:val="22"/>
          <w:szCs w:val="22"/>
          <w:lang w:val="en-US" w:eastAsia="zh-CN"/>
        </w:rPr>
        <w:t xml:space="preserve"> </w:t>
      </w:r>
      <w:r>
        <w:rPr>
          <w:rFonts w:hint="eastAsia" w:ascii="Times New Roman" w:hAnsi="Times New Roman" w:eastAsia="等线"/>
          <w:bCs/>
          <w:sz w:val="22"/>
          <w:szCs w:val="22"/>
          <w:lang w:val="en-US"/>
        </w:rPr>
        <w:t xml:space="preserve">RVQoE-reporting node </w:t>
      </w:r>
      <w:r>
        <w:rPr>
          <w:rFonts w:ascii="Times New Roman" w:hAnsi="Times New Roman" w:eastAsia="等线"/>
          <w:bCs/>
          <w:sz w:val="22"/>
          <w:szCs w:val="22"/>
          <w:lang w:val="en-US"/>
        </w:rPr>
        <w:t>intends</w:t>
      </w:r>
      <w:r>
        <w:rPr>
          <w:rFonts w:hint="eastAsia" w:ascii="Times New Roman" w:hAnsi="Times New Roman" w:eastAsia="等线"/>
          <w:bCs/>
          <w:sz w:val="22"/>
          <w:szCs w:val="22"/>
          <w:lang w:val="en-US"/>
        </w:rPr>
        <w:t xml:space="preserve"> to get the RAN Visible QoE Configuration Preference of the non-RVQoE-reporting node, </w:t>
      </w:r>
      <w:r>
        <w:rPr>
          <w:rFonts w:hint="eastAsia" w:ascii="Times New Roman" w:hAnsi="Times New Roman" w:eastAsia="等线"/>
          <w:bCs/>
          <w:sz w:val="22"/>
          <w:szCs w:val="22"/>
          <w:lang w:val="en-US" w:eastAsia="zh-CN"/>
        </w:rPr>
        <w:t xml:space="preserve">but </w:t>
      </w:r>
      <w:r>
        <w:rPr>
          <w:rFonts w:hint="eastAsia" w:ascii="Times New Roman" w:hAnsi="Times New Roman" w:eastAsia="等线"/>
          <w:bCs/>
          <w:sz w:val="22"/>
          <w:szCs w:val="22"/>
          <w:lang w:val="en-US"/>
        </w:rPr>
        <w:t>the reporting leg can be switch or not.</w:t>
      </w:r>
      <w:r>
        <w:rPr>
          <w:rStyle w:val="21"/>
          <w:rFonts w:hint="eastAsia" w:ascii="Times New Roman" w:hAnsi="Times New Roman" w:eastAsia="等线"/>
          <w:bCs/>
          <w:sz w:val="22"/>
          <w:szCs w:val="22"/>
          <w:lang w:val="en-US" w:eastAsia="zh-CN"/>
        </w:rPr>
        <w:t xml:space="preserve"> Then </w:t>
      </w:r>
      <w:r>
        <w:rPr>
          <w:rFonts w:hint="eastAsia" w:ascii="Times New Roman" w:hAnsi="Times New Roman" w:eastAsia="等线"/>
          <w:bCs/>
          <w:sz w:val="22"/>
          <w:szCs w:val="22"/>
          <w:lang w:val="en-US"/>
        </w:rPr>
        <w:t xml:space="preserve">the RVQoE-reporting node </w:t>
      </w:r>
      <w:r>
        <w:rPr>
          <w:rFonts w:hint="eastAsia" w:ascii="Times New Roman" w:hAnsi="Times New Roman" w:eastAsia="等线"/>
          <w:bCs/>
          <w:sz w:val="22"/>
          <w:szCs w:val="22"/>
          <w:lang w:val="en-US" w:eastAsia="zh-CN"/>
        </w:rPr>
        <w:t xml:space="preserve">need to </w:t>
      </w:r>
      <w:r>
        <w:rPr>
          <w:rFonts w:hint="eastAsia" w:ascii="Times New Roman" w:hAnsi="Times New Roman" w:eastAsia="等线"/>
          <w:bCs/>
          <w:sz w:val="22"/>
          <w:szCs w:val="22"/>
          <w:lang w:val="en-US"/>
        </w:rPr>
        <w:t xml:space="preserve">send the QMC Modification Request message to indicate the non-RVQoE-reporting node about the session status. If the non-RVQoE-reporting node receives an indication that the application session is running in this node, it can send the RAN Visible QoE Configuration Preference to RVQoE-reporting node, and the reporting leg can remain </w:t>
      </w:r>
      <w:r>
        <w:rPr>
          <w:rFonts w:ascii="Times New Roman" w:hAnsi="Times New Roman" w:eastAsia="等线"/>
          <w:bCs/>
          <w:sz w:val="22"/>
          <w:szCs w:val="22"/>
          <w:lang w:val="en-US"/>
        </w:rPr>
        <w:t>un</w:t>
      </w:r>
      <w:r>
        <w:rPr>
          <w:rFonts w:hint="eastAsia" w:ascii="Times New Roman" w:hAnsi="Times New Roman" w:eastAsia="等线"/>
          <w:bCs/>
          <w:sz w:val="22"/>
          <w:szCs w:val="22"/>
          <w:lang w:val="en-US"/>
        </w:rPr>
        <w:t>switched.</w:t>
      </w:r>
    </w:p>
    <w:p>
      <w:pPr>
        <w:rPr>
          <w:rFonts w:ascii="Times New Roman" w:hAnsi="Times New Roman" w:eastAsia="等线"/>
          <w:bCs/>
          <w:sz w:val="22"/>
          <w:szCs w:val="22"/>
          <w:lang w:val="en-US"/>
        </w:rPr>
      </w:pPr>
      <w:r>
        <w:rPr>
          <w:rFonts w:hint="eastAsia" w:ascii="Times New Roman" w:hAnsi="Times New Roman" w:eastAsia="等线" w:cs="Calibri"/>
          <w:b/>
          <w:sz w:val="22"/>
          <w:szCs w:val="22"/>
          <w:lang w:val="en-US"/>
        </w:rPr>
        <w:t>Proposal 4: An individual session status indication should be sen</w:t>
      </w:r>
      <w:r>
        <w:rPr>
          <w:rFonts w:ascii="Times New Roman" w:hAnsi="Times New Roman" w:eastAsia="等线" w:cs="Calibri"/>
          <w:b/>
          <w:sz w:val="22"/>
          <w:szCs w:val="22"/>
          <w:lang w:val="en-US"/>
        </w:rPr>
        <w:t>t</w:t>
      </w:r>
      <w:r>
        <w:rPr>
          <w:rFonts w:hint="eastAsia" w:ascii="Times New Roman" w:hAnsi="Times New Roman" w:eastAsia="等线" w:cs="Calibri"/>
          <w:b/>
          <w:sz w:val="22"/>
          <w:szCs w:val="22"/>
          <w:lang w:val="en-US"/>
        </w:rPr>
        <w:t xml:space="preserve"> from the RVQoE-reporting node to non-RVQoE-reporting node independent of the RAN Visible QoE Reporting Modification Request.</w:t>
      </w:r>
    </w:p>
    <w:p>
      <w:pPr>
        <w:rPr>
          <w:rFonts w:ascii="Times New Roman" w:hAnsi="Times New Roman" w:eastAsia="等线"/>
          <w:bCs/>
          <w:sz w:val="22"/>
          <w:szCs w:val="22"/>
          <w:lang w:val="en-US"/>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There is a case that the RVQoE-configuring node is not the node provid</w:t>
      </w:r>
      <w:r>
        <w:rPr>
          <w:rFonts w:ascii="Times New Roman" w:hAnsi="Times New Roman" w:eastAsia="等线"/>
          <w:bCs/>
          <w:sz w:val="22"/>
          <w:szCs w:val="22"/>
          <w:lang w:val="en-US"/>
        </w:rPr>
        <w:t>ing</w:t>
      </w:r>
      <w:r>
        <w:rPr>
          <w:rFonts w:hint="eastAsia" w:ascii="Times New Roman" w:hAnsi="Times New Roman" w:eastAsia="等线"/>
          <w:bCs/>
          <w:sz w:val="22"/>
          <w:szCs w:val="22"/>
          <w:lang w:val="en-US"/>
        </w:rPr>
        <w:t xml:space="preserve"> the bearer(s) for the application session</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 xml:space="preserve"> </w:t>
      </w:r>
      <w:r>
        <w:rPr>
          <w:rFonts w:ascii="Times New Roman" w:hAnsi="Times New Roman" w:eastAsia="等线"/>
          <w:bCs/>
          <w:sz w:val="22"/>
          <w:szCs w:val="22"/>
          <w:lang w:val="en-US"/>
        </w:rPr>
        <w:t>I</w:t>
      </w:r>
      <w:r>
        <w:rPr>
          <w:rFonts w:hint="eastAsia" w:ascii="Times New Roman" w:hAnsi="Times New Roman" w:eastAsia="等线"/>
          <w:bCs/>
          <w:sz w:val="22"/>
          <w:szCs w:val="22"/>
          <w:lang w:val="en-US"/>
        </w:rPr>
        <w:t xml:space="preserve">n this case, when the node that provides the bearer(s) </w:t>
      </w:r>
      <w:r>
        <w:rPr>
          <w:rFonts w:ascii="Times New Roman" w:hAnsi="Times New Roman" w:eastAsia="等线"/>
          <w:bCs/>
          <w:sz w:val="22"/>
          <w:szCs w:val="22"/>
          <w:lang w:val="en-US"/>
        </w:rPr>
        <w:t>intending</w:t>
      </w:r>
      <w:r>
        <w:rPr>
          <w:rFonts w:hint="eastAsia" w:ascii="Times New Roman" w:hAnsi="Times New Roman" w:eastAsia="等线"/>
          <w:bCs/>
          <w:sz w:val="22"/>
          <w:szCs w:val="22"/>
          <w:lang w:val="en-US"/>
        </w:rPr>
        <w:t xml:space="preserve"> to reconfigure the RAN visible QoE, it need</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xml:space="preserve"> to send the RAN Visible QoE Configuration Preference to the RVQoE-configuring node. Actually, if the bearer(s) for the application session is only running on the non-RVQoE-configuring node, it can send the RAN visible QoE configuration to UE directly without the forwarding </w:t>
      </w:r>
      <w:r>
        <w:rPr>
          <w:rFonts w:ascii="Times New Roman" w:hAnsi="Times New Roman" w:eastAsia="等线"/>
          <w:bCs/>
          <w:sz w:val="22"/>
          <w:szCs w:val="22"/>
          <w:lang w:val="en-US"/>
        </w:rPr>
        <w:t>to</w:t>
      </w:r>
      <w:r>
        <w:rPr>
          <w:rFonts w:hint="eastAsia" w:ascii="Times New Roman" w:hAnsi="Times New Roman" w:eastAsia="等线"/>
          <w:bCs/>
          <w:sz w:val="22"/>
          <w:szCs w:val="22"/>
          <w:lang w:val="en-US"/>
        </w:rPr>
        <w:t xml:space="preserve"> the other node.</w:t>
      </w:r>
    </w:p>
    <w:p>
      <w:pPr>
        <w:rPr>
          <w:rFonts w:ascii="Times New Roman" w:hAnsi="Times New Roman" w:eastAsia="等线" w:cs="Calibri"/>
          <w:b/>
          <w:sz w:val="22"/>
          <w:szCs w:val="22"/>
          <w:lang w:val="en-US"/>
        </w:rPr>
      </w:pPr>
      <w:r>
        <w:rPr>
          <w:rFonts w:hint="eastAsia" w:ascii="Times New Roman" w:hAnsi="Times New Roman" w:eastAsia="等线" w:cs="Calibri"/>
          <w:b/>
          <w:sz w:val="22"/>
          <w:szCs w:val="22"/>
          <w:lang w:val="en-US"/>
        </w:rPr>
        <w:t>Proposal 5: The session status indication should indicate whether the bearer(s) for the application session is(are) only established in the current non-RVQoE-configuring node, or established in both RVQoE-configuring node and non-RVQoE-configuring node.</w:t>
      </w:r>
    </w:p>
    <w:p>
      <w:pPr>
        <w:rPr>
          <w:rFonts w:ascii="Times New Roman" w:hAnsi="Times New Roman" w:eastAsia="等线" w:cs="Calibri"/>
          <w:b/>
          <w:sz w:val="22"/>
          <w:szCs w:val="22"/>
          <w:lang w:val="en-US"/>
        </w:rPr>
      </w:pPr>
      <w:r>
        <w:rPr>
          <w:rFonts w:hint="eastAsia" w:ascii="Times New Roman" w:hAnsi="Times New Roman" w:eastAsia="等线" w:cs="Calibri"/>
          <w:b/>
          <w:sz w:val="22"/>
          <w:szCs w:val="22"/>
          <w:lang w:val="en-US"/>
        </w:rPr>
        <w:t xml:space="preserve">Proposal 6: If the application session is(are) only established in the current non-RVQoE-configuring node, the current non-RVQoE-configuring node can generate and the RAN visible QoE configuration directly to UE when it </w:t>
      </w:r>
      <w:r>
        <w:rPr>
          <w:rFonts w:ascii="Times New Roman" w:hAnsi="Times New Roman" w:eastAsia="等线" w:cs="Calibri"/>
          <w:b/>
          <w:sz w:val="22"/>
          <w:szCs w:val="22"/>
          <w:lang w:val="en-US"/>
        </w:rPr>
        <w:t>intends</w:t>
      </w:r>
      <w:r>
        <w:rPr>
          <w:rFonts w:hint="eastAsia" w:ascii="Times New Roman" w:hAnsi="Times New Roman" w:eastAsia="等线" w:cs="Calibri"/>
          <w:b/>
          <w:sz w:val="22"/>
          <w:szCs w:val="22"/>
          <w:lang w:val="en-US"/>
        </w:rPr>
        <w:t xml:space="preserve"> to reconfigure RAN visible QoE.</w:t>
      </w:r>
    </w:p>
    <w:p>
      <w:pPr>
        <w:rPr>
          <w:rFonts w:ascii="Times New Roman" w:hAnsi="Times New Roman" w:eastAsia="等线"/>
          <w:b/>
          <w:sz w:val="22"/>
          <w:szCs w:val="22"/>
          <w:lang w:val="en-US"/>
        </w:rPr>
      </w:pP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QoE measurement continuity in NR-DC</w:t>
      </w:r>
    </w:p>
    <w:p>
      <w:pPr>
        <w:rPr>
          <w:rFonts w:ascii="Times New Roman" w:hAnsi="Times New Roman" w:eastAsia="宋体"/>
          <w:lang w:val="en-US"/>
        </w:rPr>
      </w:pPr>
      <w:r>
        <w:rPr>
          <w:rFonts w:hint="eastAsia" w:ascii="Times New Roman" w:hAnsi="Times New Roman" w:eastAsia="等线"/>
          <w:bCs/>
          <w:sz w:val="22"/>
          <w:szCs w:val="22"/>
          <w:lang w:val="en-US"/>
        </w:rPr>
        <w:t xml:space="preserve">For </w:t>
      </w:r>
      <w:r>
        <w:rPr>
          <w:rFonts w:ascii="Times New Roman" w:hAnsi="Times New Roman"/>
        </w:rPr>
        <w:t>QoE measurement continuity in mobility scenarios in NR-DC</w:t>
      </w:r>
      <w:r>
        <w:rPr>
          <w:rFonts w:hint="eastAsia" w:ascii="Times New Roman" w:hAnsi="Times New Roman" w:eastAsia="宋体"/>
          <w:lang w:val="en-US"/>
        </w:rPr>
        <w:t>, RAN3 have the following agreements in last meeting:</w:t>
      </w:r>
    </w:p>
    <w:p>
      <w:pPr>
        <w:spacing w:after="100" w:afterAutospacing="1"/>
        <w:rPr>
          <w:rFonts w:eastAsia="MS Mincho"/>
          <w:i/>
          <w:iCs/>
          <w:color w:val="00B050"/>
          <w:kern w:val="2"/>
          <w:sz w:val="16"/>
          <w:szCs w:val="16"/>
        </w:rPr>
      </w:pPr>
      <w:r>
        <w:rPr>
          <w:rFonts w:ascii="Calibri" w:hAnsi="Calibri" w:cs="Calibri"/>
          <w:b/>
          <w:bCs/>
          <w:color w:val="008000"/>
          <w:sz w:val="18"/>
        </w:rPr>
        <w:t>Reuse legacy procedures for the MN-SN coordination in NR-DC to support QoE.</w:t>
      </w:r>
    </w:p>
    <w:p>
      <w:pPr>
        <w:rPr>
          <w:rFonts w:ascii="Times New Roman" w:hAnsi="Times New Roman" w:eastAsia="宋体"/>
          <w:lang w:val="en-US"/>
        </w:rPr>
      </w:pPr>
      <w:r>
        <w:rPr>
          <w:rFonts w:hint="eastAsia" w:ascii="Times New Roman" w:hAnsi="Times New Roman" w:eastAsia="宋体"/>
          <w:lang w:val="en-US"/>
        </w:rPr>
        <w:t>The MN-SN coordination procedure is added in the S-NODE ADDITION procedure, and it can be used for the QoE measurement continuity in NR-DC.</w:t>
      </w:r>
    </w:p>
    <w:p>
      <w:pPr>
        <w:rPr>
          <w:rFonts w:ascii="Times New Roman" w:hAnsi="Times New Roman" w:eastAsia="宋体"/>
          <w:lang w:val="en-US"/>
        </w:rPr>
      </w:pPr>
      <w:r>
        <w:rPr>
          <w:rFonts w:hint="eastAsia" w:ascii="Times New Roman" w:hAnsi="Times New Roman" w:eastAsia="宋体"/>
          <w:lang w:val="en-US"/>
        </w:rPr>
        <w:t xml:space="preserve">The mobility procedure for NR-DC can be classified to the following cases: </w:t>
      </w:r>
    </w:p>
    <w:p>
      <w:pPr>
        <w:numPr>
          <w:ilvl w:val="0"/>
          <w:numId w:val="7"/>
        </w:numPr>
        <w:rPr>
          <w:rFonts w:ascii="Times New Roman" w:hAnsi="Times New Roman" w:eastAsia="宋体"/>
          <w:lang w:val="en-US"/>
        </w:rPr>
      </w:pPr>
      <w:r>
        <w:rPr>
          <w:rFonts w:hint="eastAsia" w:ascii="Times New Roman" w:hAnsi="Times New Roman" w:eastAsia="宋体"/>
          <w:lang w:val="en-US"/>
        </w:rPr>
        <w:t>Intra-RAT MN handover procedure: reus</w:t>
      </w:r>
      <w:r>
        <w:rPr>
          <w:rFonts w:ascii="Times New Roman" w:hAnsi="Times New Roman" w:eastAsia="宋体"/>
          <w:lang w:val="en-US"/>
        </w:rPr>
        <w:t>ing</w:t>
      </w:r>
      <w:r>
        <w:rPr>
          <w:rFonts w:hint="eastAsia" w:ascii="Times New Roman" w:hAnsi="Times New Roman" w:eastAsia="宋体"/>
          <w:lang w:val="en-US"/>
        </w:rPr>
        <w:t xml:space="preserve"> the messages of normal handover procedure, so there is no RAN3 specification impacts in this case. </w:t>
      </w:r>
    </w:p>
    <w:p>
      <w:pPr>
        <w:numPr>
          <w:ilvl w:val="0"/>
          <w:numId w:val="7"/>
        </w:numPr>
        <w:rPr>
          <w:rFonts w:ascii="Times New Roman" w:hAnsi="Times New Roman" w:eastAsia="宋体"/>
          <w:lang w:val="en-US"/>
        </w:rPr>
      </w:pPr>
      <w:r>
        <w:rPr>
          <w:rFonts w:hint="eastAsia" w:ascii="Times New Roman" w:hAnsi="Times New Roman" w:eastAsia="宋体"/>
          <w:lang w:val="en-US"/>
        </w:rPr>
        <w:t>SN change procedure: SN Addition procedure and SN Release procedure will be used.</w:t>
      </w:r>
    </w:p>
    <w:p>
      <w:pPr>
        <w:numPr>
          <w:ilvl w:val="0"/>
          <w:numId w:val="7"/>
        </w:numPr>
        <w:rPr>
          <w:rFonts w:ascii="Times New Roman" w:hAnsi="Times New Roman" w:eastAsia="宋体"/>
          <w:lang w:val="en-US"/>
        </w:rPr>
      </w:pPr>
      <w:r>
        <w:rPr>
          <w:rFonts w:hint="eastAsia" w:ascii="Times New Roman" w:hAnsi="Times New Roman" w:eastAsia="宋体"/>
          <w:lang w:val="en-US"/>
        </w:rPr>
        <w:t>Inter-RAT MN handover procedure: reuse the inter-RAT handover procedure.</w:t>
      </w:r>
    </w:p>
    <w:p>
      <w:pPr>
        <w:pStyle w:val="67"/>
      </w:pPr>
      <w:r>
        <w:rPr>
          <w:b w:val="0"/>
        </w:rPr>
        <w:object>
          <v:shape id="_x0000_i1025" o:spt="75" type="#_x0000_t75" style="height:341.15pt;width:481.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66"/>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pPr>
        <w:rPr>
          <w:rFonts w:ascii="Times New Roman" w:hAnsi="Times New Roman" w:eastAsia="等线"/>
          <w:b/>
          <w:bCs/>
          <w:sz w:val="22"/>
          <w:szCs w:val="22"/>
          <w:lang w:val="en-US"/>
        </w:rPr>
      </w:pPr>
    </w:p>
    <w:p>
      <w:pPr>
        <w:jc w:val="center"/>
      </w:pPr>
      <w:r>
        <w:drawing>
          <wp:inline distT="0" distB="0" distL="114300" distR="114300">
            <wp:extent cx="5551170" cy="3267710"/>
            <wp:effectExtent l="0" t="0" r="11430" b="8890"/>
            <wp:docPr id="1" name="图片 76"/>
            <wp:cNvGraphicFramePr/>
            <a:graphic xmlns:a="http://schemas.openxmlformats.org/drawingml/2006/main">
              <a:graphicData uri="http://schemas.openxmlformats.org/drawingml/2006/picture">
                <pic:pic xmlns:pic="http://schemas.openxmlformats.org/drawingml/2006/picture">
                  <pic:nvPicPr>
                    <pic:cNvPr id="1" name="图片 76"/>
                    <pic:cNvPicPr/>
                  </pic:nvPicPr>
                  <pic:blipFill>
                    <a:blip r:embed="rId9"/>
                    <a:stretch>
                      <a:fillRect/>
                    </a:stretch>
                  </pic:blipFill>
                  <pic:spPr>
                    <a:xfrm>
                      <a:off x="0" y="0"/>
                      <a:ext cx="5551170" cy="3267710"/>
                    </a:xfrm>
                    <a:prstGeom prst="rect">
                      <a:avLst/>
                    </a:prstGeom>
                    <a:noFill/>
                    <a:ln>
                      <a:noFill/>
                    </a:ln>
                  </pic:spPr>
                </pic:pic>
              </a:graphicData>
            </a:graphic>
          </wp:inline>
        </w:drawing>
      </w:r>
    </w:p>
    <w:p>
      <w:pPr>
        <w:pStyle w:val="66"/>
        <w:rPr>
          <w:lang w:eastAsia="zh-CN"/>
        </w:rPr>
      </w:pPr>
      <w:r>
        <w:t xml:space="preserve">Figure </w:t>
      </w:r>
      <w:r>
        <w:rPr>
          <w:lang w:eastAsia="zh-CN"/>
        </w:rPr>
        <w:t>10.5.2</w:t>
      </w:r>
      <w:r>
        <w:t>-</w:t>
      </w:r>
      <w:r>
        <w:rPr>
          <w:lang w:eastAsia="zh-CN"/>
        </w:rPr>
        <w:t>1</w:t>
      </w:r>
      <w:r>
        <w:t xml:space="preserve">: </w:t>
      </w:r>
      <w:r>
        <w:rPr>
          <w:lang w:eastAsia="zh-CN"/>
        </w:rPr>
        <w:t>SN change procedure - MN initiated</w:t>
      </w:r>
    </w:p>
    <w:p>
      <w:pPr>
        <w:pStyle w:val="66"/>
        <w:rPr>
          <w:lang w:eastAsia="zh-CN"/>
        </w:rPr>
      </w:pPr>
    </w:p>
    <w:p>
      <w:pPr>
        <w:pStyle w:val="67"/>
      </w:pPr>
      <w:r>
        <w:rPr>
          <w:b w:val="0"/>
        </w:rPr>
        <w:drawing>
          <wp:inline distT="0" distB="0" distL="114300" distR="114300">
            <wp:extent cx="5561965" cy="3308350"/>
            <wp:effectExtent l="0" t="0" r="635"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0"/>
                    <a:stretch>
                      <a:fillRect/>
                    </a:stretch>
                  </pic:blipFill>
                  <pic:spPr>
                    <a:xfrm>
                      <a:off x="0" y="0"/>
                      <a:ext cx="5561965" cy="3308350"/>
                    </a:xfrm>
                    <a:prstGeom prst="rect">
                      <a:avLst/>
                    </a:prstGeom>
                    <a:noFill/>
                    <a:ln>
                      <a:noFill/>
                    </a:ln>
                  </pic:spPr>
                </pic:pic>
              </a:graphicData>
            </a:graphic>
          </wp:inline>
        </w:drawing>
      </w:r>
    </w:p>
    <w:p>
      <w:pPr>
        <w:pStyle w:val="66"/>
      </w:pPr>
      <w:r>
        <w:t xml:space="preserve">Figure </w:t>
      </w:r>
      <w:r>
        <w:rPr>
          <w:lang w:eastAsia="zh-CN"/>
        </w:rPr>
        <w:t>10.5.2-2</w:t>
      </w:r>
      <w:r>
        <w:t xml:space="preserve">: </w:t>
      </w:r>
      <w:r>
        <w:rPr>
          <w:lang w:eastAsia="zh-CN"/>
        </w:rPr>
        <w:t>SN change procedure - SN initiated</w:t>
      </w:r>
    </w:p>
    <w:p/>
    <w:p/>
    <w:p>
      <w:pPr>
        <w:jc w:val="center"/>
      </w:pPr>
      <w:r>
        <w:object>
          <v:shape id="_x0000_i1026" o:spt="75" type="#_x0000_t75" style="height:296.85pt;width:418.3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11">
            <o:LockedField>false</o:LockedField>
          </o:OLEObject>
        </w:object>
      </w:r>
    </w:p>
    <w:p>
      <w:pPr>
        <w:pStyle w:val="66"/>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pPr>
        <w:jc w:val="center"/>
        <w:rPr>
          <w:lang w:val="en-US"/>
        </w:rPr>
      </w:pPr>
    </w:p>
    <w:p>
      <w:pPr>
        <w:pStyle w:val="67"/>
      </w:pPr>
      <w:r>
        <w:object>
          <v:shape id="_x0000_i1027" o:spt="75" type="#_x0000_t75" style="height:241.5pt;width:431.2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66"/>
      </w:pPr>
      <w:r>
        <w:t>Figure 10.8.1-1: Master Node to eNB Change procedure</w:t>
      </w:r>
    </w:p>
    <w:p>
      <w:pPr>
        <w:pStyle w:val="66"/>
      </w:pPr>
    </w:p>
    <w:p>
      <w:pPr>
        <w:pStyle w:val="67"/>
      </w:pPr>
      <w:r>
        <w:object>
          <v:shape id="_x0000_i1028" o:spt="75" type="#_x0000_t75" style="height:241.5pt;width:431.2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4">
            <o:LockedField>false</o:LockedField>
          </o:OLEObject>
        </w:object>
      </w:r>
    </w:p>
    <w:p>
      <w:pPr>
        <w:pStyle w:val="66"/>
      </w:pPr>
      <w:r>
        <w:t>Figure 10.8.1-1: Master Node to eNB Change procedure</w:t>
      </w:r>
    </w:p>
    <w:p>
      <w:pPr>
        <w:pStyle w:val="66"/>
      </w:pPr>
    </w:p>
    <w:p>
      <w:pPr>
        <w:pStyle w:val="67"/>
      </w:pPr>
      <w:r>
        <w:rPr>
          <w:b w:val="0"/>
        </w:rPr>
        <w:object>
          <v:shape id="_x0000_i1029" o:spt="75" type="#_x0000_t75" style="height:272.1pt;width:449.35pt;" o:ole="t" filled="f" o:preferrelative="t" stroked="f" coordsize="21600,21600">
            <v:path/>
            <v:fill on="f" focussize="0,0"/>
            <v:stroke on="f" joinstyle="miter"/>
            <v:imagedata r:id="rId16" o:title=""/>
            <o:lock v:ext="edit" aspectratio="f"/>
            <w10:wrap type="none"/>
            <w10:anchorlock/>
          </v:shape>
          <o:OLEObject Type="Embed" ProgID="Visio.Drawing.11" ShapeID="_x0000_i1029" DrawAspect="Content" ObjectID="_1468075729" r:id="rId15">
            <o:LockedField>false</o:LockedField>
          </o:OLEObject>
        </w:object>
      </w:r>
    </w:p>
    <w:p>
      <w:pPr>
        <w:pStyle w:val="66"/>
        <w:rPr>
          <w:lang w:val="en-US" w:eastAsia="zh-CN"/>
        </w:rPr>
      </w:pPr>
      <w:r>
        <w:t xml:space="preserve">Figure </w:t>
      </w:r>
      <w:r>
        <w:rPr>
          <w:lang w:eastAsia="zh-CN"/>
        </w:rPr>
        <w:t>10.9.2</w:t>
      </w:r>
      <w:r>
        <w:t>-</w:t>
      </w:r>
      <w:r>
        <w:rPr>
          <w:lang w:eastAsia="zh-CN"/>
        </w:rPr>
        <w:t>1</w:t>
      </w:r>
      <w:r>
        <w:t>: ng-</w:t>
      </w:r>
      <w:r>
        <w:rPr>
          <w:lang w:eastAsia="zh-CN"/>
        </w:rPr>
        <w:t>eNB/g</w:t>
      </w:r>
      <w:r>
        <w:t>NB to M</w:t>
      </w:r>
      <w:r>
        <w:rPr>
          <w:lang w:eastAsia="zh-CN"/>
        </w:rPr>
        <w:t>N</w:t>
      </w:r>
      <w:r>
        <w:t xml:space="preserve"> change</w:t>
      </w:r>
      <w:r>
        <w:rPr>
          <w:lang w:eastAsia="zh-CN"/>
        </w:rPr>
        <w:t xml:space="preserve"> procedure</w:t>
      </w:r>
      <w:r>
        <w:rPr>
          <w:rFonts w:hint="eastAsia"/>
          <w:lang w:val="en-US" w:eastAsia="zh-CN"/>
        </w:rPr>
        <w:t xml:space="preserve"> </w:t>
      </w:r>
    </w:p>
    <w:p>
      <w:pPr>
        <w:jc w:val="center"/>
        <w:rPr>
          <w:lang w:val="en-US"/>
        </w:rPr>
      </w:pPr>
    </w:p>
    <w:p>
      <w:pPr>
        <w:rPr>
          <w:rFonts w:ascii="Times New Roman" w:hAnsi="Times New Roman" w:eastAsia="等线"/>
          <w:b/>
          <w:sz w:val="22"/>
          <w:szCs w:val="22"/>
          <w:lang w:val="en-US"/>
        </w:rPr>
      </w:pPr>
      <w:r>
        <w:rPr>
          <w:rFonts w:hint="eastAsia" w:ascii="Times New Roman" w:hAnsi="Times New Roman" w:eastAsia="等线"/>
          <w:sz w:val="22"/>
          <w:szCs w:val="22"/>
          <w:lang w:val="en-US"/>
        </w:rPr>
        <w:t>After the analysis of the above procedure for mobility in NR-DC, the messages for mobility procedure in NR-DC are similar with the Secondary Node Addition/Secondary Node Release procedure, so it is preferred to include the QMC Coordination messages in the existing procedure</w:t>
      </w:r>
      <w:r>
        <w:rPr>
          <w:rFonts w:hint="eastAsia" w:ascii="Times New Roman" w:hAnsi="Times New Roman" w:eastAsia="等线"/>
          <w:sz w:val="22"/>
          <w:szCs w:val="22"/>
          <w:lang w:val="en-US" w:eastAsia="zh-CN"/>
        </w:rPr>
        <w:t>, include Inter-MN handover with/without MN initiated SN change procedure, MN initiated SN change procedure, SN initiated SN change procedure and Inter-MN handover with/without MN initiated SN change procedure. T</w:t>
      </w:r>
      <w:r>
        <w:rPr>
          <w:rFonts w:hint="eastAsia" w:ascii="Times New Roman" w:hAnsi="Times New Roman" w:eastAsia="等线"/>
          <w:sz w:val="22"/>
          <w:szCs w:val="22"/>
          <w:lang w:val="en-US"/>
        </w:rPr>
        <w:t>he QMC configuration information can be exchanged in these messages which will have the minimal change to the current specification.</w:t>
      </w:r>
    </w:p>
    <w:p>
      <w:pPr>
        <w:rPr>
          <w:rFonts w:ascii="Times New Roman" w:hAnsi="Times New Roman"/>
          <w:lang w:val="en-US"/>
        </w:rPr>
      </w:pPr>
      <w:r>
        <w:rPr>
          <w:rFonts w:hint="eastAsia" w:ascii="Times New Roman" w:hAnsi="Times New Roman" w:eastAsia="等线"/>
          <w:b/>
          <w:sz w:val="22"/>
          <w:szCs w:val="22"/>
          <w:lang w:val="en-US"/>
        </w:rPr>
        <w:t>Proposal 7: QMC Initial Coordination in the S-NODE ADDITION procedure can be used in the SN change scenarios, to indicate the new SN the QoE configuration and to indicate the new SN to receive the QoE/RVQoE reporting if needed.</w:t>
      </w:r>
    </w:p>
    <w:p>
      <w:pPr>
        <w:rPr>
          <w:rFonts w:ascii="Times New Roman" w:hAnsi="Times New Roman" w:eastAsia="等线"/>
          <w:b/>
          <w:sz w:val="22"/>
          <w:szCs w:val="22"/>
          <w:lang w:val="en-US"/>
        </w:rPr>
      </w:pPr>
    </w:p>
    <w:p>
      <w:pPr>
        <w:rPr>
          <w:rFonts w:ascii="Times New Roman" w:hAnsi="Times New Roman" w:eastAsia="等线"/>
          <w:sz w:val="22"/>
          <w:szCs w:val="22"/>
          <w:lang w:val="en-US"/>
        </w:rPr>
      </w:pPr>
      <w:r>
        <w:rPr>
          <w:rFonts w:hint="eastAsia" w:ascii="Times New Roman" w:hAnsi="Times New Roman" w:eastAsia="等线"/>
          <w:sz w:val="22"/>
          <w:szCs w:val="22"/>
          <w:lang w:val="en-US"/>
        </w:rPr>
        <w:t>In the SN change procedure, there is a case that the target SN want to reconfigure the RAN visible QoE, and it need to send the new RAN visible QoE configuration to the MN, and the MN can send the new RAN visible QoE configuration to UE. The QMC Initial Coordination procedure need to be enhanced, the available RAN visible QoE configuration need to be included in the QMC Initial Coordination request message, and the RAN Visible QoE Configuration Preference need to be included in the QMC Initial Coordination Response message to indicate the new SN</w:t>
      </w:r>
      <w:r>
        <w:rPr>
          <w:rFonts w:ascii="Times New Roman" w:hAnsi="Times New Roman" w:eastAsia="等线"/>
          <w:sz w:val="22"/>
          <w:szCs w:val="22"/>
          <w:lang w:val="en-US"/>
        </w:rPr>
        <w:t>’</w:t>
      </w:r>
      <w:r>
        <w:rPr>
          <w:rFonts w:hint="eastAsia" w:ascii="Times New Roman" w:hAnsi="Times New Roman" w:eastAsia="等线"/>
          <w:sz w:val="22"/>
          <w:szCs w:val="22"/>
          <w:lang w:val="en-US"/>
        </w:rPr>
        <w:t>s preference for RAN Visible QoE Configuration.</w:t>
      </w:r>
    </w:p>
    <w:p>
      <w:pPr>
        <w:rPr>
          <w:rFonts w:ascii="Times New Roman" w:hAnsi="Times New Roman"/>
          <w:lang w:val="en-US"/>
        </w:rPr>
      </w:pPr>
      <w:r>
        <w:rPr>
          <w:rFonts w:hint="eastAsia" w:ascii="Times New Roman" w:hAnsi="Times New Roman" w:eastAsia="等线"/>
          <w:b/>
          <w:sz w:val="22"/>
          <w:szCs w:val="22"/>
          <w:lang w:val="en-US"/>
        </w:rPr>
        <w:t>Proposal 8: Including the available RAN visible QoE configuration to the QMC Initial Coordination request message to indicate the bearers for the application session is provided by the new SN, and the SN can reconfigure the RAN visible QoE configuration.</w:t>
      </w:r>
    </w:p>
    <w:p>
      <w:pPr>
        <w:rPr>
          <w:rFonts w:ascii="Times New Roman" w:hAnsi="Times New Roman"/>
          <w:lang w:val="en-US"/>
        </w:rPr>
      </w:pPr>
      <w:r>
        <w:rPr>
          <w:rFonts w:hint="eastAsia" w:ascii="Times New Roman" w:hAnsi="Times New Roman" w:eastAsia="等线"/>
          <w:b/>
          <w:sz w:val="22"/>
          <w:szCs w:val="22"/>
          <w:lang w:val="en-US"/>
        </w:rPr>
        <w:t>Proposal 9: Include the RAN Visible QoE Configuration Preference to indicate the new SN’s preference for RAN Visible QoE Configuration.</w:t>
      </w:r>
    </w:p>
    <w:p>
      <w:pPr>
        <w:rPr>
          <w:rFonts w:ascii="Times New Roman" w:hAnsi="Times New Roman" w:eastAsia="等线"/>
          <w:sz w:val="22"/>
          <w:szCs w:val="22"/>
          <w:lang w:val="en-US"/>
        </w:rPr>
      </w:pPr>
    </w:p>
    <w:p>
      <w:pPr>
        <w:pStyle w:val="2"/>
        <w:rPr>
          <w:rFonts w:eastAsia="宋体"/>
        </w:rPr>
      </w:pPr>
      <w:r>
        <w:rPr>
          <w:rFonts w:eastAsia="宋体"/>
        </w:rPr>
        <w:t>Conclusion</w:t>
      </w:r>
      <w:bookmarkStart w:id="0" w:name="_GoBack"/>
      <w:bookmarkEnd w:id="0"/>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Proposal 1: To express MN’s preference for the QoE reporting and RAN visible QoE reporting, the reporting option need to be supported in the coordination request message send from MN to SN.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Proposal 2: The reporting leg modification to SN can trigger the SRB5 establishment, if the SN can’t establish the SRB5, the QoE reporting/RAN visible QoE reporting can still report via MN.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Proposal 3: RVQoE Reporting Modification response IE in QMC Modification Response message need to be extended to indicate that the node doesn’t intend to configure want to configure the RAN visible QoE at that time.</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Proposal 4: An individual session status indication should be sent from the RVQoE-reporting node to non-RVQoE-reporting node independent of the RAN Visible QoE Reporting Modification Request.</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Proposal 5: The session status indication should indicate whether the bearer(s) for the application session is(are) only established in the current non-RVQoE-configuring node, or established in both RVQoE-configuring node and non-RVQoE-configuring node.</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Proposal 6: If the application session is(are) only established in the current non-RVQoE-configuring node, the current non-RVQoE-configuring node can generate and the RAN visible QoE configuration directly to UE when it intends to reconfigure RAN visible QoE.</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Proposal 7: QMC Initial Coordination in the S-NODE ADDITION procedure can be used in the SN change scenarios, to indicate the new SN the QoE configuration and to indicate the new SN to receive the QoE/RVQoE reporting if needed.</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Proposal 8: Including the available RAN visible QoE configuration to the QMC Initial Coordination request message to indicate the bearers for the application session is provided by the new SN, and the SN can reconfigure the RAN visible QoE configuration.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9: Include the RAN Visible QoE Configuration Preference to indicate the new SN’s preference for RAN Visible QoE Configuration.</w:t>
      </w:r>
    </w:p>
    <w:p>
      <w:pPr>
        <w:rPr>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BB9444"/>
    <w:multiLevelType w:val="singleLevel"/>
    <w:tmpl w:val="E6BB9444"/>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4"/>
  </w:num>
  <w:num w:numId="3">
    <w:abstractNumId w:val="3"/>
  </w:num>
  <w:num w:numId="4">
    <w:abstractNumId w:val="6"/>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130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4947"/>
    <w:rsid w:val="0003527D"/>
    <w:rsid w:val="000353D5"/>
    <w:rsid w:val="00035C3A"/>
    <w:rsid w:val="00035DD7"/>
    <w:rsid w:val="00035ED7"/>
    <w:rsid w:val="00035F58"/>
    <w:rsid w:val="00036135"/>
    <w:rsid w:val="000361BC"/>
    <w:rsid w:val="000363B4"/>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3818"/>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6F45"/>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D16"/>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800"/>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984"/>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4EAE"/>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4BFA"/>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79"/>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DFC"/>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BAE"/>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0B3"/>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891"/>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1510"/>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44AD"/>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605"/>
    <w:rsid w:val="003F18AA"/>
    <w:rsid w:val="003F1D8A"/>
    <w:rsid w:val="003F241A"/>
    <w:rsid w:val="003F26F8"/>
    <w:rsid w:val="003F2BBB"/>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A5"/>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694"/>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88"/>
    <w:rsid w:val="005113B7"/>
    <w:rsid w:val="00512007"/>
    <w:rsid w:val="00512692"/>
    <w:rsid w:val="00512C45"/>
    <w:rsid w:val="00513170"/>
    <w:rsid w:val="005137A4"/>
    <w:rsid w:val="00513B0B"/>
    <w:rsid w:val="00513DB5"/>
    <w:rsid w:val="0051411D"/>
    <w:rsid w:val="00514674"/>
    <w:rsid w:val="00514858"/>
    <w:rsid w:val="00515189"/>
    <w:rsid w:val="005155A7"/>
    <w:rsid w:val="0051567E"/>
    <w:rsid w:val="005158E0"/>
    <w:rsid w:val="00516368"/>
    <w:rsid w:val="005165B3"/>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CBE"/>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13"/>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3FB"/>
    <w:rsid w:val="00694562"/>
    <w:rsid w:val="0069472A"/>
    <w:rsid w:val="00694896"/>
    <w:rsid w:val="00694C2C"/>
    <w:rsid w:val="00694E30"/>
    <w:rsid w:val="00695A5C"/>
    <w:rsid w:val="00696F08"/>
    <w:rsid w:val="006979B1"/>
    <w:rsid w:val="006A0A5A"/>
    <w:rsid w:val="006A1AAC"/>
    <w:rsid w:val="006A1E47"/>
    <w:rsid w:val="006A33E9"/>
    <w:rsid w:val="006A34E3"/>
    <w:rsid w:val="006A3EE4"/>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7E4"/>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1B4"/>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5C17"/>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37523"/>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65"/>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0E31"/>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E7D"/>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86F"/>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43"/>
    <w:rsid w:val="008E1E65"/>
    <w:rsid w:val="008E1F01"/>
    <w:rsid w:val="008E2045"/>
    <w:rsid w:val="008E26C1"/>
    <w:rsid w:val="008E2866"/>
    <w:rsid w:val="008E2968"/>
    <w:rsid w:val="008E2A13"/>
    <w:rsid w:val="008E31BB"/>
    <w:rsid w:val="008E3664"/>
    <w:rsid w:val="008E49A9"/>
    <w:rsid w:val="008E4C0F"/>
    <w:rsid w:val="008E5E96"/>
    <w:rsid w:val="008E62B1"/>
    <w:rsid w:val="008E6B60"/>
    <w:rsid w:val="008E756D"/>
    <w:rsid w:val="008E772A"/>
    <w:rsid w:val="008E77DE"/>
    <w:rsid w:val="008E77FD"/>
    <w:rsid w:val="008E7D3C"/>
    <w:rsid w:val="008E7E3A"/>
    <w:rsid w:val="008E7E88"/>
    <w:rsid w:val="008F065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3C1"/>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2C6F"/>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6D9"/>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511"/>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3FC5"/>
    <w:rsid w:val="00AA4138"/>
    <w:rsid w:val="00AA4150"/>
    <w:rsid w:val="00AA43AD"/>
    <w:rsid w:val="00AA4BEA"/>
    <w:rsid w:val="00AA4C6D"/>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9F5"/>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0CB"/>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2D6"/>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488B"/>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9FF"/>
    <w:rsid w:val="00B87A40"/>
    <w:rsid w:val="00B87B59"/>
    <w:rsid w:val="00B902C9"/>
    <w:rsid w:val="00B9128B"/>
    <w:rsid w:val="00B9257D"/>
    <w:rsid w:val="00B9361A"/>
    <w:rsid w:val="00B9392A"/>
    <w:rsid w:val="00B941F8"/>
    <w:rsid w:val="00B95170"/>
    <w:rsid w:val="00B95D7C"/>
    <w:rsid w:val="00B966E5"/>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4CF"/>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3CAE"/>
    <w:rsid w:val="00C65196"/>
    <w:rsid w:val="00C657CB"/>
    <w:rsid w:val="00C67471"/>
    <w:rsid w:val="00C67540"/>
    <w:rsid w:val="00C679ED"/>
    <w:rsid w:val="00C71DCB"/>
    <w:rsid w:val="00C72172"/>
    <w:rsid w:val="00C73697"/>
    <w:rsid w:val="00C7376B"/>
    <w:rsid w:val="00C73834"/>
    <w:rsid w:val="00C739A3"/>
    <w:rsid w:val="00C7400A"/>
    <w:rsid w:val="00C747D1"/>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7E6"/>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8B6"/>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07F0E"/>
    <w:rsid w:val="00E103D0"/>
    <w:rsid w:val="00E105A6"/>
    <w:rsid w:val="00E1068E"/>
    <w:rsid w:val="00E10838"/>
    <w:rsid w:val="00E10A59"/>
    <w:rsid w:val="00E113A7"/>
    <w:rsid w:val="00E1155A"/>
    <w:rsid w:val="00E11ADF"/>
    <w:rsid w:val="00E12187"/>
    <w:rsid w:val="00E123AB"/>
    <w:rsid w:val="00E12463"/>
    <w:rsid w:val="00E1258C"/>
    <w:rsid w:val="00E1267B"/>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947"/>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61E"/>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78F"/>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4ED7"/>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5D"/>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093"/>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3C44"/>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13976BC"/>
    <w:rsid w:val="018800AA"/>
    <w:rsid w:val="01953CF4"/>
    <w:rsid w:val="01FF420C"/>
    <w:rsid w:val="027C0B8B"/>
    <w:rsid w:val="02BE4901"/>
    <w:rsid w:val="02BE598D"/>
    <w:rsid w:val="03102EAD"/>
    <w:rsid w:val="03823CCE"/>
    <w:rsid w:val="03894E11"/>
    <w:rsid w:val="04752218"/>
    <w:rsid w:val="04806B7E"/>
    <w:rsid w:val="04927309"/>
    <w:rsid w:val="04BA29B7"/>
    <w:rsid w:val="05C55C2E"/>
    <w:rsid w:val="061B0606"/>
    <w:rsid w:val="061D1AC7"/>
    <w:rsid w:val="0637581D"/>
    <w:rsid w:val="063F7AB5"/>
    <w:rsid w:val="07564B65"/>
    <w:rsid w:val="082E5B31"/>
    <w:rsid w:val="08717CD6"/>
    <w:rsid w:val="08CD339C"/>
    <w:rsid w:val="08CF208F"/>
    <w:rsid w:val="08F31921"/>
    <w:rsid w:val="091907C8"/>
    <w:rsid w:val="093667F2"/>
    <w:rsid w:val="09542584"/>
    <w:rsid w:val="0955757C"/>
    <w:rsid w:val="09D72C99"/>
    <w:rsid w:val="09DE5CCA"/>
    <w:rsid w:val="0A491491"/>
    <w:rsid w:val="0A8148F9"/>
    <w:rsid w:val="0AC71EE3"/>
    <w:rsid w:val="0B5F6E5D"/>
    <w:rsid w:val="0BA63FBF"/>
    <w:rsid w:val="0BB124BD"/>
    <w:rsid w:val="0BD95AE1"/>
    <w:rsid w:val="0C1C61E1"/>
    <w:rsid w:val="0C303ECB"/>
    <w:rsid w:val="0C8655D1"/>
    <w:rsid w:val="0CF87132"/>
    <w:rsid w:val="0E1D4901"/>
    <w:rsid w:val="0E9E384F"/>
    <w:rsid w:val="0F525467"/>
    <w:rsid w:val="0F8B024A"/>
    <w:rsid w:val="0FDA68AA"/>
    <w:rsid w:val="10161464"/>
    <w:rsid w:val="10786F12"/>
    <w:rsid w:val="10C04426"/>
    <w:rsid w:val="10D51E44"/>
    <w:rsid w:val="111432B7"/>
    <w:rsid w:val="111F41C0"/>
    <w:rsid w:val="11685F26"/>
    <w:rsid w:val="11A502B5"/>
    <w:rsid w:val="122B7BDE"/>
    <w:rsid w:val="125961F1"/>
    <w:rsid w:val="125A4EAA"/>
    <w:rsid w:val="12A02E80"/>
    <w:rsid w:val="12B23BCF"/>
    <w:rsid w:val="13270AC8"/>
    <w:rsid w:val="13392E6D"/>
    <w:rsid w:val="134342A3"/>
    <w:rsid w:val="142151FB"/>
    <w:rsid w:val="144C30DB"/>
    <w:rsid w:val="14576AE2"/>
    <w:rsid w:val="14764DB5"/>
    <w:rsid w:val="15801155"/>
    <w:rsid w:val="15EF77C6"/>
    <w:rsid w:val="166824B4"/>
    <w:rsid w:val="16C74126"/>
    <w:rsid w:val="16D02443"/>
    <w:rsid w:val="16E46B93"/>
    <w:rsid w:val="17060160"/>
    <w:rsid w:val="177D3AE0"/>
    <w:rsid w:val="18650326"/>
    <w:rsid w:val="193623D1"/>
    <w:rsid w:val="197A336A"/>
    <w:rsid w:val="19E57B15"/>
    <w:rsid w:val="1A145EE5"/>
    <w:rsid w:val="1A5D4B06"/>
    <w:rsid w:val="1B545DD1"/>
    <w:rsid w:val="1C06768E"/>
    <w:rsid w:val="1C1E5D3E"/>
    <w:rsid w:val="1C8D01A3"/>
    <w:rsid w:val="1CBA7FAF"/>
    <w:rsid w:val="1CE077EC"/>
    <w:rsid w:val="1D2241D4"/>
    <w:rsid w:val="1D29152C"/>
    <w:rsid w:val="1D43574A"/>
    <w:rsid w:val="1D634F0F"/>
    <w:rsid w:val="1F8B4261"/>
    <w:rsid w:val="1F9B7FFA"/>
    <w:rsid w:val="1F9E4321"/>
    <w:rsid w:val="1FA54280"/>
    <w:rsid w:val="2016427B"/>
    <w:rsid w:val="219B1BEF"/>
    <w:rsid w:val="21C51C0F"/>
    <w:rsid w:val="226E17EF"/>
    <w:rsid w:val="229E0E8F"/>
    <w:rsid w:val="22C20E17"/>
    <w:rsid w:val="22C9418D"/>
    <w:rsid w:val="23154713"/>
    <w:rsid w:val="233414D0"/>
    <w:rsid w:val="23434606"/>
    <w:rsid w:val="23917DB2"/>
    <w:rsid w:val="23C925DD"/>
    <w:rsid w:val="242F2C13"/>
    <w:rsid w:val="24E56C29"/>
    <w:rsid w:val="257139A1"/>
    <w:rsid w:val="262134D1"/>
    <w:rsid w:val="2623094D"/>
    <w:rsid w:val="26505B9B"/>
    <w:rsid w:val="265E296E"/>
    <w:rsid w:val="26E4639A"/>
    <w:rsid w:val="27DF4678"/>
    <w:rsid w:val="28203C40"/>
    <w:rsid w:val="28247D16"/>
    <w:rsid w:val="283D4410"/>
    <w:rsid w:val="284978BE"/>
    <w:rsid w:val="284C56EF"/>
    <w:rsid w:val="295419DA"/>
    <w:rsid w:val="29E56D4B"/>
    <w:rsid w:val="29FE4971"/>
    <w:rsid w:val="2A2806F3"/>
    <w:rsid w:val="2A463335"/>
    <w:rsid w:val="2A51367A"/>
    <w:rsid w:val="2A947DE8"/>
    <w:rsid w:val="2AA22934"/>
    <w:rsid w:val="2AC43948"/>
    <w:rsid w:val="2B087CE4"/>
    <w:rsid w:val="2B28065B"/>
    <w:rsid w:val="2B345733"/>
    <w:rsid w:val="2B3F72B2"/>
    <w:rsid w:val="2B4F306B"/>
    <w:rsid w:val="2B7259B8"/>
    <w:rsid w:val="2BDB354D"/>
    <w:rsid w:val="2CE03230"/>
    <w:rsid w:val="2D462219"/>
    <w:rsid w:val="2E177FDB"/>
    <w:rsid w:val="2E462A06"/>
    <w:rsid w:val="2E6A74B4"/>
    <w:rsid w:val="2E6D0438"/>
    <w:rsid w:val="2F157F4A"/>
    <w:rsid w:val="2F6621DF"/>
    <w:rsid w:val="2F927CB1"/>
    <w:rsid w:val="2FB510EC"/>
    <w:rsid w:val="2FC32F68"/>
    <w:rsid w:val="306C4967"/>
    <w:rsid w:val="30761D31"/>
    <w:rsid w:val="30952995"/>
    <w:rsid w:val="309D4855"/>
    <w:rsid w:val="30BA3ED1"/>
    <w:rsid w:val="30BE3A29"/>
    <w:rsid w:val="30CB71E3"/>
    <w:rsid w:val="31204968"/>
    <w:rsid w:val="315D4BE3"/>
    <w:rsid w:val="323E3268"/>
    <w:rsid w:val="327117F0"/>
    <w:rsid w:val="32893AB7"/>
    <w:rsid w:val="32FA3EC5"/>
    <w:rsid w:val="332350B4"/>
    <w:rsid w:val="33EA35AD"/>
    <w:rsid w:val="34F446B1"/>
    <w:rsid w:val="353A0AAB"/>
    <w:rsid w:val="357339D9"/>
    <w:rsid w:val="35A10BB2"/>
    <w:rsid w:val="35B54DEB"/>
    <w:rsid w:val="36002857"/>
    <w:rsid w:val="36273A23"/>
    <w:rsid w:val="362B08C7"/>
    <w:rsid w:val="362E7B8F"/>
    <w:rsid w:val="36310C28"/>
    <w:rsid w:val="36792C62"/>
    <w:rsid w:val="368461D9"/>
    <w:rsid w:val="36F40202"/>
    <w:rsid w:val="37166B78"/>
    <w:rsid w:val="376A5776"/>
    <w:rsid w:val="378751C1"/>
    <w:rsid w:val="37EF2E51"/>
    <w:rsid w:val="3822721A"/>
    <w:rsid w:val="38C079AD"/>
    <w:rsid w:val="38C9453B"/>
    <w:rsid w:val="392D14D4"/>
    <w:rsid w:val="39411259"/>
    <w:rsid w:val="39796DCB"/>
    <w:rsid w:val="3AE31128"/>
    <w:rsid w:val="3B674128"/>
    <w:rsid w:val="3BF646CD"/>
    <w:rsid w:val="3C7209A7"/>
    <w:rsid w:val="3C920C37"/>
    <w:rsid w:val="3CA45F55"/>
    <w:rsid w:val="3CB75A2A"/>
    <w:rsid w:val="3CED5BAF"/>
    <w:rsid w:val="3DAC74D6"/>
    <w:rsid w:val="3E71782D"/>
    <w:rsid w:val="3EC62B88"/>
    <w:rsid w:val="3F486CE9"/>
    <w:rsid w:val="3F5546BC"/>
    <w:rsid w:val="3F684F93"/>
    <w:rsid w:val="3FC41C51"/>
    <w:rsid w:val="3FE27CDB"/>
    <w:rsid w:val="3FED4319"/>
    <w:rsid w:val="401B58E0"/>
    <w:rsid w:val="401D6822"/>
    <w:rsid w:val="40F82F02"/>
    <w:rsid w:val="41E94325"/>
    <w:rsid w:val="422C2522"/>
    <w:rsid w:val="42AC253D"/>
    <w:rsid w:val="43266FB8"/>
    <w:rsid w:val="43AC0714"/>
    <w:rsid w:val="43AC6997"/>
    <w:rsid w:val="43E26D2A"/>
    <w:rsid w:val="44EE7080"/>
    <w:rsid w:val="44F745CF"/>
    <w:rsid w:val="451C4FB1"/>
    <w:rsid w:val="453B1CD3"/>
    <w:rsid w:val="455517CB"/>
    <w:rsid w:val="457825E4"/>
    <w:rsid w:val="459F465A"/>
    <w:rsid w:val="45E71F71"/>
    <w:rsid w:val="45EE2C19"/>
    <w:rsid w:val="46203393"/>
    <w:rsid w:val="46432FE7"/>
    <w:rsid w:val="46796A6B"/>
    <w:rsid w:val="4693423A"/>
    <w:rsid w:val="46AE0DDA"/>
    <w:rsid w:val="4701694A"/>
    <w:rsid w:val="47072496"/>
    <w:rsid w:val="471A7B91"/>
    <w:rsid w:val="47275B26"/>
    <w:rsid w:val="47A47339"/>
    <w:rsid w:val="47B36DD3"/>
    <w:rsid w:val="47D5208C"/>
    <w:rsid w:val="47D80000"/>
    <w:rsid w:val="48C63DF7"/>
    <w:rsid w:val="48C77CED"/>
    <w:rsid w:val="494E3DC0"/>
    <w:rsid w:val="49823E03"/>
    <w:rsid w:val="499A0251"/>
    <w:rsid w:val="499E5B89"/>
    <w:rsid w:val="4B3833FC"/>
    <w:rsid w:val="4B3C0772"/>
    <w:rsid w:val="4B766B51"/>
    <w:rsid w:val="4C1134F9"/>
    <w:rsid w:val="4D6250F1"/>
    <w:rsid w:val="4DAE57E3"/>
    <w:rsid w:val="4E2646EA"/>
    <w:rsid w:val="4EBC6B68"/>
    <w:rsid w:val="4F114EFD"/>
    <w:rsid w:val="4F71072F"/>
    <w:rsid w:val="4FAD5B31"/>
    <w:rsid w:val="4FF614FC"/>
    <w:rsid w:val="50473316"/>
    <w:rsid w:val="507351DD"/>
    <w:rsid w:val="513D08B7"/>
    <w:rsid w:val="51405AFB"/>
    <w:rsid w:val="514903C3"/>
    <w:rsid w:val="5191417F"/>
    <w:rsid w:val="51916E82"/>
    <w:rsid w:val="51DC14C4"/>
    <w:rsid w:val="51ED116C"/>
    <w:rsid w:val="523A7C7F"/>
    <w:rsid w:val="52B6455F"/>
    <w:rsid w:val="52DD19BB"/>
    <w:rsid w:val="531829B6"/>
    <w:rsid w:val="531942AD"/>
    <w:rsid w:val="531D1EB8"/>
    <w:rsid w:val="5370492F"/>
    <w:rsid w:val="53C532F6"/>
    <w:rsid w:val="540F52BD"/>
    <w:rsid w:val="545123F3"/>
    <w:rsid w:val="549C38C8"/>
    <w:rsid w:val="54EC4684"/>
    <w:rsid w:val="54EE4041"/>
    <w:rsid w:val="54F64263"/>
    <w:rsid w:val="551303A1"/>
    <w:rsid w:val="56362637"/>
    <w:rsid w:val="56EA0AB1"/>
    <w:rsid w:val="56FD660A"/>
    <w:rsid w:val="574122DC"/>
    <w:rsid w:val="575D3263"/>
    <w:rsid w:val="576D087E"/>
    <w:rsid w:val="57835EA0"/>
    <w:rsid w:val="578D17B9"/>
    <w:rsid w:val="57951174"/>
    <w:rsid w:val="57F000B8"/>
    <w:rsid w:val="58335A5D"/>
    <w:rsid w:val="58807BDE"/>
    <w:rsid w:val="58D871AE"/>
    <w:rsid w:val="590A7350"/>
    <w:rsid w:val="596C02F9"/>
    <w:rsid w:val="59BC4ED0"/>
    <w:rsid w:val="59E5080C"/>
    <w:rsid w:val="59EF1AD9"/>
    <w:rsid w:val="59FA2872"/>
    <w:rsid w:val="5A101373"/>
    <w:rsid w:val="5A2C7526"/>
    <w:rsid w:val="5A8D3A63"/>
    <w:rsid w:val="5A9D3EE7"/>
    <w:rsid w:val="5AC805F8"/>
    <w:rsid w:val="5AEC74F8"/>
    <w:rsid w:val="5B7079CB"/>
    <w:rsid w:val="5BC11016"/>
    <w:rsid w:val="5BD762C4"/>
    <w:rsid w:val="5C02368F"/>
    <w:rsid w:val="5C7143C6"/>
    <w:rsid w:val="5CC8203E"/>
    <w:rsid w:val="5CED4F6D"/>
    <w:rsid w:val="5CF862C6"/>
    <w:rsid w:val="5D1464A5"/>
    <w:rsid w:val="5D5C1E8F"/>
    <w:rsid w:val="5D5E4DB7"/>
    <w:rsid w:val="5DF77DE0"/>
    <w:rsid w:val="5E1955EB"/>
    <w:rsid w:val="5E4A6AD5"/>
    <w:rsid w:val="5E7023B2"/>
    <w:rsid w:val="5E912514"/>
    <w:rsid w:val="5F0F7504"/>
    <w:rsid w:val="5FC553F9"/>
    <w:rsid w:val="606210AF"/>
    <w:rsid w:val="60A93A22"/>
    <w:rsid w:val="60C3026A"/>
    <w:rsid w:val="617B2260"/>
    <w:rsid w:val="619F3B34"/>
    <w:rsid w:val="61B07210"/>
    <w:rsid w:val="624C4A0C"/>
    <w:rsid w:val="629F20B6"/>
    <w:rsid w:val="62A10176"/>
    <w:rsid w:val="62DE6779"/>
    <w:rsid w:val="63062E48"/>
    <w:rsid w:val="63097D09"/>
    <w:rsid w:val="631026BB"/>
    <w:rsid w:val="639221EC"/>
    <w:rsid w:val="640139DD"/>
    <w:rsid w:val="64205924"/>
    <w:rsid w:val="64654323"/>
    <w:rsid w:val="646C6345"/>
    <w:rsid w:val="64B516AE"/>
    <w:rsid w:val="65803F95"/>
    <w:rsid w:val="65B91104"/>
    <w:rsid w:val="660C196D"/>
    <w:rsid w:val="6669436A"/>
    <w:rsid w:val="66CE5C6A"/>
    <w:rsid w:val="66FB3B9A"/>
    <w:rsid w:val="676A48B2"/>
    <w:rsid w:val="678D1434"/>
    <w:rsid w:val="67A06F8C"/>
    <w:rsid w:val="67B54588"/>
    <w:rsid w:val="67DD6DAE"/>
    <w:rsid w:val="67F95DDB"/>
    <w:rsid w:val="680F3235"/>
    <w:rsid w:val="684B3447"/>
    <w:rsid w:val="689D062F"/>
    <w:rsid w:val="69862E6A"/>
    <w:rsid w:val="69960847"/>
    <w:rsid w:val="69A17C70"/>
    <w:rsid w:val="69CD0BDF"/>
    <w:rsid w:val="69E87B42"/>
    <w:rsid w:val="69EC32FE"/>
    <w:rsid w:val="69FA2796"/>
    <w:rsid w:val="6B9F6E13"/>
    <w:rsid w:val="6BB87C7D"/>
    <w:rsid w:val="6BE50B5D"/>
    <w:rsid w:val="6C06497E"/>
    <w:rsid w:val="6C2548E3"/>
    <w:rsid w:val="6C434FAE"/>
    <w:rsid w:val="6C622E74"/>
    <w:rsid w:val="6CEB7969"/>
    <w:rsid w:val="6CEE7C83"/>
    <w:rsid w:val="6DA4006D"/>
    <w:rsid w:val="6DB25003"/>
    <w:rsid w:val="6DDB620D"/>
    <w:rsid w:val="6FA50228"/>
    <w:rsid w:val="6FDB386D"/>
    <w:rsid w:val="6FF67743"/>
    <w:rsid w:val="711E0693"/>
    <w:rsid w:val="713E0C0B"/>
    <w:rsid w:val="72513C4A"/>
    <w:rsid w:val="72603478"/>
    <w:rsid w:val="729D729D"/>
    <w:rsid w:val="72D958AB"/>
    <w:rsid w:val="735B2D57"/>
    <w:rsid w:val="73EE4C3F"/>
    <w:rsid w:val="73F73CFB"/>
    <w:rsid w:val="74272B19"/>
    <w:rsid w:val="74346EAC"/>
    <w:rsid w:val="743D3AC4"/>
    <w:rsid w:val="74516EE2"/>
    <w:rsid w:val="74D63C4F"/>
    <w:rsid w:val="764144DD"/>
    <w:rsid w:val="76566332"/>
    <w:rsid w:val="76616E61"/>
    <w:rsid w:val="76631A1F"/>
    <w:rsid w:val="76A03DCF"/>
    <w:rsid w:val="77042BC8"/>
    <w:rsid w:val="77A33DD6"/>
    <w:rsid w:val="781B5B43"/>
    <w:rsid w:val="788C4C80"/>
    <w:rsid w:val="78A13E89"/>
    <w:rsid w:val="78D31F49"/>
    <w:rsid w:val="79114B33"/>
    <w:rsid w:val="791259C0"/>
    <w:rsid w:val="799635DF"/>
    <w:rsid w:val="79F65D09"/>
    <w:rsid w:val="7AC91CFF"/>
    <w:rsid w:val="7B2A4C01"/>
    <w:rsid w:val="7B3A3F28"/>
    <w:rsid w:val="7BFF6BFE"/>
    <w:rsid w:val="7C03215E"/>
    <w:rsid w:val="7C0323A6"/>
    <w:rsid w:val="7C290923"/>
    <w:rsid w:val="7E80646A"/>
    <w:rsid w:val="7E9E6451"/>
    <w:rsid w:val="7F252F06"/>
    <w:rsid w:val="7F2A369C"/>
    <w:rsid w:val="7F4E2B7E"/>
    <w:rsid w:val="7F525177"/>
    <w:rsid w:val="7F8D23D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表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67"/>
    <w:link w:val="68"/>
    <w:qFormat/>
    <w:uiPriority w:val="0"/>
    <w:pPr>
      <w:overflowPunct/>
      <w:autoSpaceDE/>
      <w:autoSpaceDN/>
      <w:adjustRightInd/>
      <w:spacing w:after="240"/>
      <w:textAlignment w:val="auto"/>
    </w:pPr>
    <w:rPr>
      <w:rFonts w:eastAsia="宋体"/>
      <w:lang w:eastAsia="en-US"/>
    </w:rPr>
  </w:style>
  <w:style w:type="paragraph" w:customStyle="1" w:styleId="67">
    <w:name w:val="TH"/>
    <w:basedOn w:val="1"/>
    <w:qFormat/>
    <w:uiPriority w:val="0"/>
    <w:pPr>
      <w:keepNext/>
      <w:keepLines/>
      <w:spacing w:before="60"/>
      <w:jc w:val="center"/>
    </w:pPr>
    <w:rPr>
      <w:b/>
    </w:rPr>
  </w:style>
  <w:style w:type="character" w:customStyle="1" w:styleId="68">
    <w:name w:val="TF Char"/>
    <w:link w:val="66"/>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未处理的提及1"/>
    <w:basedOn w:val="21"/>
    <w:unhideWhenUsed/>
    <w:qFormat/>
    <w:uiPriority w:val="99"/>
    <w:rPr>
      <w:color w:val="605E5C"/>
      <w:shd w:val="clear" w:color="auto" w:fill="E1DFDD"/>
    </w:rPr>
  </w:style>
  <w:style w:type="character" w:customStyle="1" w:styleId="73">
    <w:name w:val="@他1"/>
    <w:basedOn w:val="21"/>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character" w:customStyle="1" w:styleId="75">
    <w:name w:val="首标题"/>
    <w:qFormat/>
    <w:uiPriority w:val="0"/>
    <w:rPr>
      <w:rFonts w:ascii="Arial" w:hAnsi="Arial" w:eastAsia="宋体"/>
      <w:sz w:val="24"/>
      <w:lang w:val="en-US" w:eastAsia="zh-CN" w:bidi="ar-SA"/>
    </w:rPr>
  </w:style>
  <w:style w:type="paragraph" w:customStyle="1" w:styleId="76">
    <w:name w:val="修订2"/>
    <w:hidden/>
    <w:semiHidden/>
    <w:qFormat/>
    <w:uiPriority w:val="99"/>
    <w:rPr>
      <w:rFonts w:ascii="Arial" w:hAnsi="Arial" w:eastAsia="Times New Roman" w:cs="Times New Roman"/>
      <w:lang w:val="en-GB" w:eastAsia="zh-CN" w:bidi="ar-SA"/>
    </w:rPr>
  </w:style>
  <w:style w:type="paragraph" w:customStyle="1" w:styleId="77">
    <w:name w:val="修订3"/>
    <w:hidden/>
    <w:semiHidden/>
    <w:qFormat/>
    <w:uiPriority w:val="99"/>
    <w:rPr>
      <w:rFonts w:ascii="Arial" w:hAnsi="Arial" w:eastAsia="Times New Roman" w:cs="Times New Roman"/>
      <w:lang w:val="en-GB" w:eastAsia="zh-CN" w:bidi="ar-SA"/>
    </w:rPr>
  </w:style>
  <w:style w:type="paragraph" w:customStyle="1" w:styleId="78">
    <w:name w:val="修订4"/>
    <w:hidden/>
    <w:semiHidden/>
    <w:qFormat/>
    <w:uiPriority w:val="99"/>
    <w:rPr>
      <w:rFonts w:ascii="Arial" w:hAnsi="Arial" w:eastAsia="Times New Roman" w:cs="Times New Roman"/>
      <w:lang w:val="en-GB" w:eastAsia="zh-CN" w:bidi="ar-SA"/>
    </w:rPr>
  </w:style>
  <w:style w:type="paragraph" w:customStyle="1" w:styleId="79">
    <w:name w:val="listparagraph3"/>
    <w:basedOn w:val="1"/>
    <w:semiHidden/>
    <w:qFormat/>
    <w:uiPriority w:val="0"/>
    <w:pPr>
      <w:spacing w:after="100" w:afterAutospacing="1"/>
    </w:pPr>
    <w:rPr>
      <w:rFonts w:ascii="Calibri" w:hAnsi="Calibri" w:eastAsia="宋体" w:cs="Calibri"/>
    </w:rPr>
  </w:style>
  <w:style w:type="character" w:customStyle="1" w:styleId="80">
    <w:name w:val="15"/>
    <w:qFormat/>
    <w:uiPriority w:val="0"/>
    <w:rPr>
      <w:rFonts w:hint="default" w:ascii="CG Times (WN)" w:hAnsi="CG Times (WN)"/>
      <w:color w:val="0000FF"/>
      <w:u w:val="single"/>
    </w:rPr>
  </w:style>
  <w:style w:type="paragraph" w:customStyle="1" w:styleId="81">
    <w:name w:val="Revision"/>
    <w:hidden/>
    <w:unhideWhenUsed/>
    <w:qFormat/>
    <w:uiPriority w:val="99"/>
    <w:rPr>
      <w:rFonts w:ascii="Arial" w:hAnsi="Arial" w:eastAsia="Times New Roman"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6.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emf"/><Relationship Id="rId15" Type="http://schemas.openxmlformats.org/officeDocument/2006/relationships/oleObject" Target="embeddings/Microsoft_Visio_2003-2010___5.vsd"/><Relationship Id="rId14" Type="http://schemas.openxmlformats.org/officeDocument/2006/relationships/oleObject" Target="embeddings/Microsoft_Visio_2003-2010___4.vsd"/><Relationship Id="rId13" Type="http://schemas.openxmlformats.org/officeDocument/2006/relationships/image" Target="media/image4.emf"/><Relationship Id="rId12" Type="http://schemas.openxmlformats.org/officeDocument/2006/relationships/oleObject" Target="embeddings/Microsoft_Visio_2003-2010___3.vsd"/><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C4EBDAD-F25C-4923-B5F8-0F15B0BFAADC}">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7957D943-A877-475D-BA92-1F9DEC590F82}">
  <ds:schemaRefs/>
</ds:datastoreItem>
</file>

<file path=customXml/itemProps4.xml><?xml version="1.0" encoding="utf-8"?>
<ds:datastoreItem xmlns:ds="http://schemas.openxmlformats.org/officeDocument/2006/customXml" ds:itemID="{FB6DDB7C-9959-4AEC-AA49-498A6EC77218}">
  <ds:schemaRefs/>
</ds:datastoreItem>
</file>

<file path=customXml/itemProps5.xml><?xml version="1.0" encoding="utf-8"?>
<ds:datastoreItem xmlns:ds="http://schemas.openxmlformats.org/officeDocument/2006/customXml" ds:itemID="{DE493EDE-3679-4263-A95C-CB3FBE678763}">
  <ds:schemaRefs/>
</ds:datastoreItem>
</file>

<file path=customXml/itemProps6.xml><?xml version="1.0" encoding="utf-8"?>
<ds:datastoreItem xmlns:ds="http://schemas.openxmlformats.org/officeDocument/2006/customXml" ds:itemID="{AB067330-89E3-4362-9022-7EE22BBAB73C}">
  <ds:schemaRefs/>
</ds:datastoreItem>
</file>

<file path=docProps/app.xml><?xml version="1.0" encoding="utf-8"?>
<Properties xmlns="http://schemas.openxmlformats.org/officeDocument/2006/extended-properties" xmlns:vt="http://schemas.openxmlformats.org/officeDocument/2006/docPropsVTypes">
  <Template>Normal</Template>
  <Pages>7</Pages>
  <Words>1645</Words>
  <Characters>9378</Characters>
  <Lines>78</Lines>
  <Paragraphs>22</Paragraphs>
  <TotalTime>1</TotalTime>
  <ScaleCrop>false</ScaleCrop>
  <LinksUpToDate>false</LinksUpToDate>
  <CharactersWithSpaces>11001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2023-02-17T02:30:00Z</dcterms:created>
  <dc:creator>Ericsson User</dc:creator>
  <cp:lastModifiedBy>李培</cp:lastModifiedBy>
  <dcterms:modified xsi:type="dcterms:W3CDTF">2023-09-28T06:19:17Z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65DD715BE25347C5BB2D4C8F379D39B1</vt:lpwstr>
  </property>
</Properties>
</file>